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4F4A" w14:textId="2AD192A2" w:rsidR="00F82997" w:rsidRPr="00F82997" w:rsidRDefault="0075573E" w:rsidP="00F82997">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08</w:t>
      </w:r>
      <w:r>
        <w:rPr>
          <w:rFonts w:ascii="Times New Roman" w:hAnsi="Times New Roman"/>
          <w:b/>
          <w:sz w:val="22"/>
          <w:szCs w:val="22"/>
        </w:rPr>
        <w:tab/>
      </w:r>
      <w:r>
        <w:rPr>
          <w:rFonts w:ascii="Times New Roman" w:hAnsi="Times New Roman"/>
          <w:b/>
          <w:sz w:val="22"/>
          <w:szCs w:val="22"/>
        </w:rPr>
        <w:tab/>
        <w:t>MAINE OFFICE OF COMMUNITY AFFAIRS</w:t>
      </w:r>
    </w:p>
    <w:p w14:paraId="5E7C8F0A" w14:textId="77777777" w:rsid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7280F5E1" w14:textId="6A3DE6A5" w:rsidR="0014587C" w:rsidRDefault="0014587C" w:rsidP="00F82997">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003</w:t>
      </w:r>
      <w:r>
        <w:rPr>
          <w:rFonts w:ascii="Times New Roman" w:hAnsi="Times New Roman"/>
          <w:b/>
          <w:sz w:val="22"/>
          <w:szCs w:val="22"/>
        </w:rPr>
        <w:tab/>
      </w:r>
      <w:r>
        <w:rPr>
          <w:rFonts w:ascii="Times New Roman" w:hAnsi="Times New Roman"/>
          <w:b/>
          <w:sz w:val="22"/>
          <w:szCs w:val="22"/>
        </w:rPr>
        <w:tab/>
        <w:t>BUILDING CODES AND STANDARDS</w:t>
      </w:r>
    </w:p>
    <w:p w14:paraId="27C632B0" w14:textId="77777777" w:rsidR="0014587C" w:rsidRPr="00F82997" w:rsidRDefault="0014587C" w:rsidP="00F82997">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6B886592" w14:textId="25365045" w:rsidR="00F82997" w:rsidRPr="00F82997" w:rsidRDefault="00F82997" w:rsidP="00F82997">
      <w:pPr>
        <w:tabs>
          <w:tab w:val="left" w:pos="720"/>
          <w:tab w:val="left" w:pos="1440"/>
          <w:tab w:val="left" w:pos="2160"/>
          <w:tab w:val="left" w:pos="2880"/>
          <w:tab w:val="left" w:pos="3600"/>
        </w:tabs>
        <w:overflowPunct/>
        <w:autoSpaceDE/>
        <w:autoSpaceDN/>
        <w:adjustRightInd/>
        <w:ind w:left="1440" w:right="1170" w:hanging="1440"/>
        <w:textAlignment w:val="auto"/>
        <w:rPr>
          <w:rFonts w:ascii="Times New Roman" w:hAnsi="Times New Roman"/>
          <w:b/>
          <w:i/>
          <w:sz w:val="22"/>
          <w:szCs w:val="22"/>
        </w:rPr>
      </w:pPr>
      <w:r w:rsidRPr="00F82997">
        <w:rPr>
          <w:rFonts w:ascii="Times New Roman" w:hAnsi="Times New Roman"/>
          <w:b/>
          <w:sz w:val="22"/>
          <w:szCs w:val="22"/>
        </w:rPr>
        <w:t xml:space="preserve">Chapter </w:t>
      </w:r>
      <w:r w:rsidR="0014587C">
        <w:rPr>
          <w:rFonts w:ascii="Times New Roman" w:hAnsi="Times New Roman"/>
          <w:b/>
          <w:sz w:val="22"/>
          <w:szCs w:val="22"/>
        </w:rPr>
        <w:t>8</w:t>
      </w:r>
      <w:r w:rsidRPr="00F82997">
        <w:rPr>
          <w:rFonts w:ascii="Times New Roman" w:hAnsi="Times New Roman"/>
          <w:b/>
          <w:sz w:val="22"/>
          <w:szCs w:val="22"/>
        </w:rPr>
        <w:t>:</w:t>
      </w:r>
      <w:r w:rsidRPr="00F82997">
        <w:rPr>
          <w:rFonts w:ascii="Times New Roman" w:hAnsi="Times New Roman"/>
          <w:b/>
          <w:sz w:val="22"/>
          <w:szCs w:val="22"/>
        </w:rPr>
        <w:tab/>
        <w:t>MAINE UNIFORM BUILDING AND ENERGY CODE – MECHANICAL CODE</w:t>
      </w:r>
      <w:r w:rsidR="001A1312">
        <w:rPr>
          <w:rFonts w:ascii="Times New Roman" w:hAnsi="Times New Roman"/>
          <w:b/>
          <w:sz w:val="22"/>
          <w:szCs w:val="22"/>
        </w:rPr>
        <w:t xml:space="preserve"> </w:t>
      </w:r>
      <w:r w:rsidR="001A1312" w:rsidRPr="001A1312">
        <w:rPr>
          <w:rFonts w:ascii="Times New Roman" w:hAnsi="Times New Roman"/>
          <w:b/>
          <w:sz w:val="22"/>
          <w:szCs w:val="22"/>
        </w:rPr>
        <w:t>(formerly 16-642 C.M.R. Ch. 7)</w:t>
      </w:r>
    </w:p>
    <w:p w14:paraId="6AAD844D" w14:textId="77777777" w:rsidR="00F82997" w:rsidRPr="00F82997" w:rsidRDefault="00F82997" w:rsidP="00F82997">
      <w:pPr>
        <w:pBdr>
          <w:bottom w:val="single" w:sz="4" w:space="0"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DB97E5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03015C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b/>
          <w:sz w:val="22"/>
          <w:szCs w:val="22"/>
        </w:rPr>
        <w:t>SUMMARY:</w:t>
      </w:r>
      <w:r w:rsidRPr="00F82997">
        <w:rPr>
          <w:rFonts w:ascii="Times New Roman" w:hAnsi="Times New Roman"/>
          <w:sz w:val="22"/>
          <w:szCs w:val="22"/>
        </w:rPr>
        <w:t xml:space="preserve"> This chapter establishes the Mechanical Code component of the Maine Uniform Building and Energy Code “MUBEC”. The provisions of this chapter are based on a nationally recognized model codes and Standards published by the International Code Council, Inc., The American Society of Heating, Refrigerating and Air-Conditioning Engineers (ASHRAE), </w:t>
      </w:r>
      <w:bookmarkStart w:id="0" w:name="_Hlk69141628"/>
      <w:r w:rsidRPr="00F82997">
        <w:rPr>
          <w:rFonts w:ascii="Times New Roman" w:hAnsi="Times New Roman"/>
          <w:sz w:val="22"/>
          <w:szCs w:val="22"/>
        </w:rPr>
        <w:t xml:space="preserve">American Society for Testing and Materials </w:t>
      </w:r>
      <w:bookmarkEnd w:id="0"/>
      <w:r w:rsidRPr="00F82997">
        <w:rPr>
          <w:rFonts w:ascii="Times New Roman" w:hAnsi="Times New Roman"/>
          <w:sz w:val="22"/>
          <w:szCs w:val="22"/>
        </w:rPr>
        <w:t xml:space="preserve">(ASTM) and is made part of the MUBEC through incorporation by reference. </w:t>
      </w:r>
    </w:p>
    <w:p w14:paraId="7FBFAAFC" w14:textId="77777777" w:rsidR="00F82997" w:rsidRPr="00F82997" w:rsidRDefault="00F82997" w:rsidP="00F82997">
      <w:pPr>
        <w:pBdr>
          <w:bottom w:val="single" w:sz="4" w:space="1" w:color="auto"/>
        </w:pBd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sz w:val="22"/>
          <w:szCs w:val="22"/>
        </w:rPr>
      </w:pPr>
    </w:p>
    <w:p w14:paraId="770F7AF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sz w:val="22"/>
          <w:szCs w:val="22"/>
        </w:rPr>
      </w:pPr>
    </w:p>
    <w:p w14:paraId="27ECFB1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outlineLvl w:val="0"/>
        <w:rPr>
          <w:rFonts w:ascii="Times New Roman" w:hAnsi="Times New Roman"/>
          <w:sz w:val="22"/>
          <w:szCs w:val="22"/>
        </w:rPr>
      </w:pPr>
    </w:p>
    <w:p w14:paraId="496AA05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1.</w:t>
      </w:r>
      <w:r w:rsidRPr="00F82997">
        <w:rPr>
          <w:rFonts w:ascii="Times New Roman" w:hAnsi="Times New Roman"/>
          <w:b/>
          <w:sz w:val="22"/>
          <w:szCs w:val="22"/>
        </w:rPr>
        <w:tab/>
        <w:t>PURPOSE AND SCOPE</w:t>
      </w:r>
    </w:p>
    <w:p w14:paraId="1A9504E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1EA556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bookmarkStart w:id="1" w:name="_Hlk152063079"/>
      <w:r w:rsidRPr="00F82997">
        <w:rPr>
          <w:rFonts w:ascii="Times New Roman" w:hAnsi="Times New Roman"/>
          <w:sz w:val="22"/>
          <w:szCs w:val="22"/>
        </w:rPr>
        <w:t>All building construction within the State of Maine shall be governed by the MUBEC. The MUBEC is adopted by the Technical Building Codes and Standards Board pursuant to Title 10 M.R.S. Chapter 1103. The primary objective of the Board is to establish a uniform building code throughout the State of Maine.</w:t>
      </w:r>
      <w:smartTag w:uri="urn:schemas-microsoft-com:office:smarttags" w:element="State"/>
      <w:smartTag w:uri="urn:schemas-microsoft-com:office:smarttags" w:element="place"/>
    </w:p>
    <w:bookmarkEnd w:id="1"/>
    <w:p w14:paraId="75DB4CC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91E1C0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sz w:val="22"/>
          <w:szCs w:val="22"/>
        </w:rPr>
      </w:pPr>
      <w:r w:rsidRPr="00F82997">
        <w:rPr>
          <w:rFonts w:ascii="Times New Roman" w:hAnsi="Times New Roman"/>
          <w:sz w:val="22"/>
          <w:szCs w:val="22"/>
        </w:rPr>
        <w:t>This chapter sets forth the standards for the construction, alteration, movement, enlargement, replacement, repair, equipment, use and occupancy, location, maintenance, removal and demolition of every building or structure or any appurtenances connected or attached to such building or structure, with the exception of detached one and two-family dwellings and townhouses.</w:t>
      </w:r>
    </w:p>
    <w:p w14:paraId="1326245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394DEC5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t>EFFECTIVE DATE: The effective date of this Chapter is 90 days after approval by the Commissioner of the Department of Public Safety.</w:t>
      </w:r>
    </w:p>
    <w:p w14:paraId="7D6F7B7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38DFC21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2.</w:t>
      </w:r>
      <w:r w:rsidRPr="00F82997">
        <w:rPr>
          <w:rFonts w:ascii="Times New Roman" w:hAnsi="Times New Roman"/>
          <w:b/>
          <w:sz w:val="22"/>
          <w:szCs w:val="22"/>
        </w:rPr>
        <w:tab/>
        <w:t>AUTHORITY</w:t>
      </w:r>
    </w:p>
    <w:p w14:paraId="7B24F78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5439628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t>The authority for this Chapter is Title 10 M.R.S. §9722, which provides that the Maine Technical Building Codes and Standards Board shall promulgate rules which adopt, amend, and maintain the Maine Uniform Building and Energy Code. Where conflicts occur between provisions of the MUBEC and those adopted by boards or programs within the Department of Professional &amp; Financial Regulation, the codes, standards or rules adopted by such Boards or programs shall apply. This shall include, but not be limited to, the Maine Fuel Board Rules, Maine State Plumbing Code, Maine State Manufactured Housing Board Rules.</w:t>
      </w:r>
    </w:p>
    <w:p w14:paraId="388545A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BCF1B5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0358F7D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3.</w:t>
      </w:r>
      <w:r w:rsidRPr="00F82997">
        <w:rPr>
          <w:rFonts w:ascii="Times New Roman" w:hAnsi="Times New Roman"/>
          <w:b/>
          <w:sz w:val="22"/>
          <w:szCs w:val="22"/>
        </w:rPr>
        <w:tab/>
        <w:t>DEFINITIONS</w:t>
      </w:r>
    </w:p>
    <w:p w14:paraId="0728596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p>
    <w:p w14:paraId="31FAB90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Cs/>
          <w:sz w:val="22"/>
          <w:szCs w:val="22"/>
        </w:rPr>
      </w:pPr>
      <w:r w:rsidRPr="00F82997">
        <w:rPr>
          <w:rFonts w:ascii="Times New Roman" w:hAnsi="Times New Roman"/>
          <w:bCs/>
          <w:sz w:val="22"/>
          <w:szCs w:val="22"/>
        </w:rPr>
        <w:tab/>
        <w:t>1.</w:t>
      </w:r>
      <w:r w:rsidRPr="00F82997">
        <w:rPr>
          <w:rFonts w:ascii="Times New Roman" w:hAnsi="Times New Roman"/>
          <w:bCs/>
          <w:sz w:val="22"/>
          <w:szCs w:val="22"/>
        </w:rPr>
        <w:tab/>
      </w:r>
      <w:r w:rsidRPr="00F82997">
        <w:rPr>
          <w:rFonts w:ascii="Times New Roman" w:hAnsi="Times New Roman"/>
          <w:b/>
          <w:sz w:val="22"/>
          <w:szCs w:val="22"/>
        </w:rPr>
        <w:t xml:space="preserve">ASHRAE. </w:t>
      </w:r>
      <w:bookmarkStart w:id="2" w:name="_Hlk69145945"/>
      <w:r w:rsidRPr="00F82997">
        <w:rPr>
          <w:rFonts w:ascii="Times New Roman" w:hAnsi="Times New Roman"/>
          <w:bCs/>
          <w:sz w:val="22"/>
          <w:szCs w:val="22"/>
        </w:rPr>
        <w:t>“ASHRAE” means</w:t>
      </w:r>
      <w:r w:rsidRPr="00F82997">
        <w:rPr>
          <w:rFonts w:ascii="Times New Roman" w:hAnsi="Times New Roman"/>
          <w:b/>
          <w:sz w:val="22"/>
          <w:szCs w:val="22"/>
        </w:rPr>
        <w:t xml:space="preserve"> </w:t>
      </w:r>
      <w:r w:rsidRPr="00F82997">
        <w:rPr>
          <w:rFonts w:ascii="Times New Roman" w:hAnsi="Times New Roman"/>
          <w:bCs/>
          <w:sz w:val="22"/>
          <w:szCs w:val="22"/>
        </w:rPr>
        <w:t>The American Society of Heating, Refrigerating and Air-Conditioning Engineers.</w:t>
      </w:r>
    </w:p>
    <w:bookmarkEnd w:id="2"/>
    <w:p w14:paraId="7A984D7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Cs/>
          <w:sz w:val="22"/>
          <w:szCs w:val="22"/>
        </w:rPr>
      </w:pPr>
    </w:p>
    <w:p w14:paraId="3FE133A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Cs/>
          <w:sz w:val="22"/>
          <w:szCs w:val="22"/>
        </w:rPr>
      </w:pPr>
      <w:r w:rsidRPr="00F82997">
        <w:rPr>
          <w:rFonts w:ascii="Times New Roman" w:hAnsi="Times New Roman"/>
          <w:bCs/>
          <w:sz w:val="22"/>
          <w:szCs w:val="22"/>
        </w:rPr>
        <w:tab/>
        <w:t>2.</w:t>
      </w:r>
      <w:r w:rsidRPr="00F82997">
        <w:rPr>
          <w:rFonts w:ascii="Times New Roman" w:hAnsi="Times New Roman"/>
          <w:bCs/>
          <w:sz w:val="22"/>
          <w:szCs w:val="22"/>
        </w:rPr>
        <w:tab/>
      </w:r>
      <w:r w:rsidRPr="00F82997">
        <w:rPr>
          <w:rFonts w:ascii="Times New Roman" w:hAnsi="Times New Roman"/>
          <w:b/>
          <w:sz w:val="22"/>
          <w:szCs w:val="22"/>
        </w:rPr>
        <w:t>ASTM</w:t>
      </w:r>
      <w:r w:rsidRPr="00F82997">
        <w:rPr>
          <w:rFonts w:ascii="Times New Roman" w:hAnsi="Times New Roman"/>
          <w:bCs/>
          <w:sz w:val="22"/>
          <w:szCs w:val="22"/>
        </w:rPr>
        <w:t>. “ASTM” means American Society for Testing and Materials.</w:t>
      </w:r>
    </w:p>
    <w:p w14:paraId="3D87BB6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B2E270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t>3.</w:t>
      </w:r>
      <w:r w:rsidRPr="00F82997">
        <w:rPr>
          <w:rFonts w:ascii="Times New Roman" w:hAnsi="Times New Roman"/>
          <w:sz w:val="22"/>
          <w:szCs w:val="22"/>
        </w:rPr>
        <w:tab/>
      </w:r>
      <w:r w:rsidRPr="00F82997">
        <w:rPr>
          <w:rFonts w:ascii="Times New Roman" w:hAnsi="Times New Roman"/>
          <w:b/>
          <w:sz w:val="22"/>
          <w:szCs w:val="22"/>
        </w:rPr>
        <w:t>IBC</w:t>
      </w:r>
      <w:r w:rsidRPr="00F82997">
        <w:rPr>
          <w:rFonts w:ascii="Times New Roman" w:hAnsi="Times New Roman"/>
          <w:sz w:val="22"/>
          <w:szCs w:val="22"/>
        </w:rPr>
        <w:t>. “IBC” means the International Building Code, published by the International Code Council, Inc., 2021 edition adopted as part of the MUBEC.</w:t>
      </w:r>
    </w:p>
    <w:p w14:paraId="549D117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28B4B43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t>4.</w:t>
      </w:r>
      <w:r w:rsidRPr="00F82997">
        <w:rPr>
          <w:rFonts w:ascii="Times New Roman" w:hAnsi="Times New Roman"/>
          <w:sz w:val="22"/>
          <w:szCs w:val="22"/>
        </w:rPr>
        <w:tab/>
      </w:r>
      <w:r w:rsidRPr="00F82997">
        <w:rPr>
          <w:rFonts w:ascii="Times New Roman" w:hAnsi="Times New Roman"/>
          <w:b/>
          <w:bCs/>
          <w:sz w:val="22"/>
          <w:szCs w:val="22"/>
        </w:rPr>
        <w:t>IMC</w:t>
      </w:r>
      <w:r w:rsidRPr="00F82997">
        <w:rPr>
          <w:rFonts w:ascii="Times New Roman" w:hAnsi="Times New Roman"/>
          <w:sz w:val="22"/>
          <w:szCs w:val="22"/>
        </w:rPr>
        <w:t>. “IMC” means the International Mechanical Code, published by the International Code Council, Inc., 2021 edition (adopted as part of the MUBEC).</w:t>
      </w:r>
    </w:p>
    <w:p w14:paraId="37735B1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5F7AF79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i/>
          <w:iCs/>
          <w:sz w:val="22"/>
          <w:szCs w:val="22"/>
        </w:rPr>
      </w:pPr>
      <w:r w:rsidRPr="00F82997">
        <w:rPr>
          <w:rFonts w:ascii="Times New Roman" w:hAnsi="Times New Roman"/>
          <w:sz w:val="22"/>
          <w:szCs w:val="22"/>
        </w:rPr>
        <w:t>5.</w:t>
      </w:r>
      <w:r w:rsidRPr="00F82997">
        <w:rPr>
          <w:rFonts w:ascii="Times New Roman" w:hAnsi="Times New Roman"/>
          <w:sz w:val="24"/>
          <w:szCs w:val="24"/>
        </w:rPr>
        <w:tab/>
      </w:r>
      <w:r w:rsidRPr="00F82997">
        <w:rPr>
          <w:rFonts w:ascii="Times New Roman" w:hAnsi="Times New Roman"/>
          <w:b/>
          <w:bCs/>
          <w:sz w:val="22"/>
          <w:szCs w:val="22"/>
        </w:rPr>
        <w:t>MUBEC</w:t>
      </w:r>
      <w:r w:rsidRPr="00F82997">
        <w:rPr>
          <w:rFonts w:ascii="Times New Roman" w:hAnsi="Times New Roman"/>
          <w:sz w:val="22"/>
          <w:szCs w:val="22"/>
        </w:rPr>
        <w:t xml:space="preserve">. “MUBEC” means the Maine Uniform Building and Energy Code adopted pursuant to Title 10 M.R.S. §9271 </w:t>
      </w:r>
      <w:r w:rsidRPr="00F82997">
        <w:rPr>
          <w:rFonts w:ascii="Times New Roman" w:hAnsi="Times New Roman"/>
          <w:i/>
          <w:iCs/>
          <w:sz w:val="22"/>
          <w:szCs w:val="22"/>
        </w:rPr>
        <w:t>et seq..</w:t>
      </w:r>
    </w:p>
    <w:p w14:paraId="0B7870F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i/>
          <w:sz w:val="22"/>
          <w:szCs w:val="22"/>
        </w:rPr>
      </w:pPr>
    </w:p>
    <w:p w14:paraId="269152F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lastRenderedPageBreak/>
        <w:t>6.</w:t>
      </w:r>
      <w:r w:rsidRPr="00F82997">
        <w:rPr>
          <w:rFonts w:ascii="Times New Roman" w:hAnsi="Times New Roman"/>
          <w:sz w:val="22"/>
          <w:szCs w:val="22"/>
        </w:rPr>
        <w:tab/>
      </w:r>
      <w:r w:rsidRPr="00F82997">
        <w:rPr>
          <w:rFonts w:ascii="Times New Roman" w:hAnsi="Times New Roman"/>
          <w:b/>
          <w:sz w:val="22"/>
          <w:szCs w:val="22"/>
        </w:rPr>
        <w:t>NFPA</w:t>
      </w:r>
      <w:r w:rsidRPr="00F82997">
        <w:rPr>
          <w:rFonts w:ascii="Times New Roman" w:hAnsi="Times New Roman"/>
          <w:sz w:val="22"/>
          <w:szCs w:val="22"/>
        </w:rPr>
        <w:t>. “NFPA” means The National Fire Protection Association.</w:t>
      </w:r>
    </w:p>
    <w:p w14:paraId="3027EAC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0665A39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t>7.</w:t>
      </w:r>
      <w:r w:rsidRPr="00F82997">
        <w:rPr>
          <w:rFonts w:ascii="Times New Roman" w:hAnsi="Times New Roman"/>
          <w:sz w:val="22"/>
          <w:szCs w:val="22"/>
        </w:rPr>
        <w:tab/>
      </w:r>
      <w:r w:rsidRPr="00F82997">
        <w:rPr>
          <w:rFonts w:ascii="Times New Roman" w:hAnsi="Times New Roman"/>
          <w:b/>
          <w:bCs/>
          <w:sz w:val="22"/>
          <w:szCs w:val="22"/>
        </w:rPr>
        <w:t xml:space="preserve">PFR. </w:t>
      </w:r>
      <w:r w:rsidRPr="00F82997">
        <w:rPr>
          <w:rFonts w:ascii="Times New Roman" w:hAnsi="Times New Roman"/>
          <w:sz w:val="22"/>
          <w:szCs w:val="22"/>
        </w:rPr>
        <w:t>“PFR” means the State of Maine Office of Professional and Financial Regulation.</w:t>
      </w:r>
    </w:p>
    <w:p w14:paraId="04428C0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b/>
          <w:sz w:val="22"/>
          <w:szCs w:val="22"/>
        </w:rPr>
      </w:pPr>
    </w:p>
    <w:p w14:paraId="0803127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r w:rsidRPr="00F82997">
        <w:rPr>
          <w:rFonts w:ascii="Times New Roman" w:hAnsi="Times New Roman"/>
          <w:sz w:val="22"/>
          <w:szCs w:val="22"/>
        </w:rPr>
        <w:t>8.</w:t>
      </w:r>
      <w:r w:rsidRPr="00F82997">
        <w:rPr>
          <w:rFonts w:ascii="Times New Roman" w:hAnsi="Times New Roman"/>
          <w:sz w:val="24"/>
          <w:szCs w:val="24"/>
        </w:rPr>
        <w:tab/>
      </w:r>
      <w:r w:rsidRPr="00F82997">
        <w:rPr>
          <w:rFonts w:ascii="Times New Roman" w:hAnsi="Times New Roman"/>
          <w:b/>
          <w:bCs/>
          <w:sz w:val="22"/>
          <w:szCs w:val="22"/>
        </w:rPr>
        <w:t>Technical Building Codes and Standards Board</w:t>
      </w:r>
      <w:r w:rsidRPr="00F82997">
        <w:rPr>
          <w:rFonts w:ascii="Times New Roman" w:hAnsi="Times New Roman"/>
          <w:sz w:val="22"/>
          <w:szCs w:val="22"/>
        </w:rPr>
        <w:t>. “Technical Building Codes and Standards Board” means the board established pursuant to Title 5 M.R.S. §12004-G, subsection 5-A and Title 10 M.R.S. §9722.</w:t>
      </w:r>
    </w:p>
    <w:p w14:paraId="78E8D10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16A7B2F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outlineLvl w:val="0"/>
        <w:rPr>
          <w:rFonts w:ascii="Times New Roman" w:hAnsi="Times New Roman"/>
          <w:sz w:val="22"/>
          <w:szCs w:val="22"/>
        </w:rPr>
      </w:pPr>
    </w:p>
    <w:p w14:paraId="3A88806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4.</w:t>
      </w:r>
      <w:r w:rsidRPr="00F82997">
        <w:rPr>
          <w:rFonts w:ascii="Times New Roman" w:hAnsi="Times New Roman"/>
          <w:b/>
          <w:sz w:val="22"/>
          <w:szCs w:val="22"/>
        </w:rPr>
        <w:tab/>
        <w:t>INCORPORATION BY REFERENCE</w:t>
      </w:r>
    </w:p>
    <w:p w14:paraId="21B383E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7ED8187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F82997">
        <w:rPr>
          <w:rFonts w:ascii="Times New Roman" w:hAnsi="Times New Roman"/>
          <w:sz w:val="22"/>
          <w:szCs w:val="22"/>
        </w:rPr>
        <w:t>1.</w:t>
      </w:r>
      <w:r w:rsidRPr="00F82997">
        <w:rPr>
          <w:rFonts w:ascii="Times New Roman" w:hAnsi="Times New Roman"/>
          <w:sz w:val="22"/>
          <w:szCs w:val="22"/>
        </w:rPr>
        <w:tab/>
        <w:t>The following Chapters of the 2021 International Mechanical Code, published by the International Code Council, Inc. are hereby adopted and incorporated by reference:</w:t>
      </w:r>
    </w:p>
    <w:p w14:paraId="4330A95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3CDD22F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A.</w:t>
      </w:r>
      <w:r w:rsidRPr="00F82997">
        <w:rPr>
          <w:rFonts w:ascii="Times New Roman" w:hAnsi="Times New Roman"/>
          <w:sz w:val="22"/>
          <w:szCs w:val="22"/>
        </w:rPr>
        <w:tab/>
        <w:t>Chapters 1 – 6</w:t>
      </w:r>
    </w:p>
    <w:p w14:paraId="0A93CFC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B.</w:t>
      </w:r>
      <w:r w:rsidRPr="00F82997">
        <w:rPr>
          <w:rFonts w:ascii="Times New Roman" w:hAnsi="Times New Roman"/>
          <w:sz w:val="22"/>
          <w:szCs w:val="22"/>
        </w:rPr>
        <w:tab/>
        <w:t xml:space="preserve">Chapters 8 - 9 </w:t>
      </w:r>
    </w:p>
    <w:p w14:paraId="6395C70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C</w:t>
      </w:r>
      <w:r w:rsidRPr="00F82997">
        <w:rPr>
          <w:rFonts w:ascii="Times New Roman" w:hAnsi="Times New Roman"/>
          <w:sz w:val="22"/>
          <w:szCs w:val="22"/>
        </w:rPr>
        <w:tab/>
        <w:t>Chapters 11-12</w:t>
      </w:r>
    </w:p>
    <w:p w14:paraId="0402107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D.</w:t>
      </w:r>
      <w:r w:rsidRPr="00F82997">
        <w:rPr>
          <w:rFonts w:ascii="Times New Roman" w:hAnsi="Times New Roman"/>
          <w:sz w:val="22"/>
          <w:szCs w:val="22"/>
        </w:rPr>
        <w:tab/>
        <w:t>Chapters 14 -15</w:t>
      </w:r>
    </w:p>
    <w:p w14:paraId="5E3DAD4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F2D115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F82997">
        <w:rPr>
          <w:rFonts w:ascii="Times New Roman" w:hAnsi="Times New Roman"/>
          <w:sz w:val="22"/>
          <w:szCs w:val="22"/>
        </w:rPr>
        <w:t>2.</w:t>
      </w:r>
      <w:r w:rsidRPr="00F82997">
        <w:rPr>
          <w:rFonts w:ascii="Times New Roman" w:hAnsi="Times New Roman"/>
          <w:sz w:val="22"/>
          <w:szCs w:val="22"/>
        </w:rPr>
        <w:tab/>
        <w:t>The following Chapters, and all appendices, of the IMC are specifically excluded from adoption:</w:t>
      </w:r>
    </w:p>
    <w:p w14:paraId="7EFE6E2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1D48F4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A.</w:t>
      </w:r>
      <w:r w:rsidRPr="00F82997">
        <w:rPr>
          <w:rFonts w:ascii="Times New Roman" w:hAnsi="Times New Roman"/>
          <w:sz w:val="22"/>
          <w:szCs w:val="22"/>
        </w:rPr>
        <w:tab/>
        <w:t>Chapters 7, 10, &amp; 13</w:t>
      </w:r>
    </w:p>
    <w:p w14:paraId="5289912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F82997">
        <w:rPr>
          <w:rFonts w:ascii="Times New Roman" w:hAnsi="Times New Roman"/>
          <w:sz w:val="22"/>
          <w:szCs w:val="22"/>
        </w:rPr>
        <w:t>B.</w:t>
      </w:r>
      <w:r w:rsidRPr="00F82997">
        <w:rPr>
          <w:rFonts w:ascii="Times New Roman" w:hAnsi="Times New Roman"/>
          <w:sz w:val="22"/>
          <w:szCs w:val="22"/>
        </w:rPr>
        <w:tab/>
        <w:t>Appendix A - C</w:t>
      </w:r>
    </w:p>
    <w:p w14:paraId="0292506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223319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t>3.</w:t>
      </w:r>
      <w:r w:rsidRPr="00F82997">
        <w:rPr>
          <w:rFonts w:ascii="Times New Roman" w:hAnsi="Times New Roman"/>
          <w:sz w:val="22"/>
          <w:szCs w:val="22"/>
        </w:rPr>
        <w:tab/>
      </w:r>
      <w:bookmarkStart w:id="3" w:name="_Hlk69146081"/>
      <w:r w:rsidRPr="00F82997">
        <w:rPr>
          <w:rFonts w:ascii="Times New Roman" w:hAnsi="Times New Roman"/>
          <w:sz w:val="22"/>
          <w:szCs w:val="22"/>
        </w:rPr>
        <w:t>The following ASHRAE 62.1- 2019 edition are hereby incorporated by reference</w:t>
      </w:r>
      <w:bookmarkEnd w:id="3"/>
    </w:p>
    <w:p w14:paraId="5B336F1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4"/>
          <w:szCs w:val="24"/>
        </w:rPr>
      </w:pPr>
    </w:p>
    <w:p w14:paraId="5F38A28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4"/>
          <w:szCs w:val="24"/>
        </w:rPr>
        <w:tab/>
        <w:t>4.</w:t>
      </w:r>
      <w:r w:rsidRPr="00F82997">
        <w:rPr>
          <w:rFonts w:ascii="Times New Roman" w:hAnsi="Times New Roman"/>
          <w:sz w:val="24"/>
          <w:szCs w:val="24"/>
        </w:rPr>
        <w:tab/>
      </w:r>
      <w:r w:rsidRPr="00F82997">
        <w:rPr>
          <w:rFonts w:ascii="Times New Roman" w:hAnsi="Times New Roman"/>
          <w:sz w:val="22"/>
          <w:szCs w:val="22"/>
        </w:rPr>
        <w:t>The following ASHRAE 62.2- 2019 edition are hereby incorporated by reference</w:t>
      </w:r>
    </w:p>
    <w:p w14:paraId="1AC046E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D6DADD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bookmarkStart w:id="4" w:name="_Hlk69145283"/>
      <w:r w:rsidRPr="00F82997">
        <w:rPr>
          <w:rFonts w:ascii="Times New Roman" w:hAnsi="Times New Roman"/>
          <w:sz w:val="22"/>
          <w:szCs w:val="22"/>
        </w:rPr>
        <w:tab/>
        <w:t>5.</w:t>
      </w:r>
      <w:r w:rsidRPr="00F82997">
        <w:rPr>
          <w:rFonts w:ascii="Times New Roman" w:hAnsi="Times New Roman"/>
          <w:sz w:val="22"/>
          <w:szCs w:val="22"/>
        </w:rPr>
        <w:tab/>
        <w:t xml:space="preserve">The following ASHRAE 90.1- 2019 edition are hereby incorporated by reference </w:t>
      </w:r>
    </w:p>
    <w:p w14:paraId="53B1FBD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E17944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6.</w:t>
      </w:r>
      <w:r w:rsidRPr="00F82997">
        <w:rPr>
          <w:rFonts w:ascii="Times New Roman" w:hAnsi="Times New Roman"/>
          <w:sz w:val="22"/>
          <w:szCs w:val="22"/>
        </w:rPr>
        <w:tab/>
        <w:t>The following ASTM E 1465-08 are hereby incorporated by reference</w:t>
      </w:r>
    </w:p>
    <w:bookmarkEnd w:id="4"/>
    <w:p w14:paraId="199FC5C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21732B7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5A56B18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440"/>
        <w:textAlignment w:val="auto"/>
        <w:outlineLvl w:val="0"/>
        <w:rPr>
          <w:rFonts w:ascii="Times New Roman" w:hAnsi="Times New Roman"/>
          <w:b/>
          <w:sz w:val="22"/>
          <w:szCs w:val="22"/>
        </w:rPr>
      </w:pPr>
      <w:r w:rsidRPr="00F82997">
        <w:rPr>
          <w:rFonts w:ascii="Times New Roman" w:hAnsi="Times New Roman"/>
          <w:b/>
          <w:sz w:val="22"/>
          <w:szCs w:val="22"/>
        </w:rPr>
        <w:t>SECTION 5.</w:t>
      </w:r>
      <w:r w:rsidRPr="00F82997">
        <w:rPr>
          <w:rFonts w:ascii="Times New Roman" w:hAnsi="Times New Roman"/>
          <w:b/>
          <w:sz w:val="22"/>
          <w:szCs w:val="22"/>
        </w:rPr>
        <w:tab/>
        <w:t>REVISIONS TO THE IMC</w:t>
      </w:r>
    </w:p>
    <w:p w14:paraId="4AE6085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5DC0D6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t>The following additions, insertions, deletions, and other changes are hereby made to the 2021 International Mechanical Code:</w:t>
      </w:r>
    </w:p>
    <w:p w14:paraId="15FB5A6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6C6D7A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w:t>
      </w:r>
      <w:r w:rsidRPr="00F82997">
        <w:rPr>
          <w:rFonts w:ascii="Times New Roman" w:hAnsi="Times New Roman"/>
          <w:sz w:val="22"/>
          <w:szCs w:val="22"/>
        </w:rPr>
        <w:tab/>
        <w:t>Generally in all Sections</w:t>
      </w:r>
    </w:p>
    <w:p w14:paraId="754B5BF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hanging="1080"/>
        <w:textAlignment w:val="auto"/>
        <w:rPr>
          <w:rFonts w:ascii="Times New Roman" w:hAnsi="Times New Roman"/>
          <w:sz w:val="22"/>
          <w:szCs w:val="22"/>
        </w:rPr>
      </w:pPr>
    </w:p>
    <w:p w14:paraId="6714AF3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hanging="1080"/>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“International Fuel Gas Code.”</w:t>
      </w:r>
    </w:p>
    <w:p w14:paraId="1F935EC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080"/>
        <w:textAlignment w:val="auto"/>
        <w:rPr>
          <w:rFonts w:ascii="Times New Roman" w:hAnsi="Times New Roman"/>
          <w:sz w:val="22"/>
          <w:szCs w:val="22"/>
        </w:rPr>
      </w:pPr>
      <w:r w:rsidRPr="00F82997">
        <w:rPr>
          <w:rFonts w:ascii="Times New Roman" w:hAnsi="Times New Roman"/>
          <w:b/>
          <w:i/>
          <w:sz w:val="22"/>
          <w:szCs w:val="22"/>
        </w:rPr>
        <w:tab/>
      </w:r>
      <w:r w:rsidRPr="00F82997">
        <w:rPr>
          <w:rFonts w:ascii="Times New Roman" w:hAnsi="Times New Roman"/>
          <w:b/>
          <w:i/>
          <w:sz w:val="22"/>
          <w:szCs w:val="22"/>
        </w:rPr>
        <w:tab/>
        <w:t>Insert</w:t>
      </w:r>
      <w:r w:rsidRPr="00F82997">
        <w:rPr>
          <w:rFonts w:ascii="Times New Roman" w:hAnsi="Times New Roman"/>
          <w:sz w:val="22"/>
          <w:szCs w:val="22"/>
        </w:rPr>
        <w:t xml:space="preserve"> “NFPA 54 National Fuel Gas Code;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73A8955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hanging="1080"/>
        <w:textAlignment w:val="auto"/>
        <w:rPr>
          <w:rFonts w:ascii="Times New Roman" w:hAnsi="Times New Roman"/>
          <w:sz w:val="22"/>
          <w:szCs w:val="22"/>
        </w:rPr>
      </w:pPr>
    </w:p>
    <w:p w14:paraId="2575432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w:t>
      </w:r>
      <w:r w:rsidRPr="00F82997">
        <w:rPr>
          <w:rFonts w:ascii="Times New Roman" w:hAnsi="Times New Roman"/>
          <w:sz w:val="22"/>
          <w:szCs w:val="22"/>
        </w:rPr>
        <w:tab/>
        <w:t>Generally in all Sections</w:t>
      </w:r>
    </w:p>
    <w:p w14:paraId="1E9D28D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hanging="1080"/>
        <w:textAlignment w:val="auto"/>
        <w:rPr>
          <w:rFonts w:ascii="Times New Roman" w:hAnsi="Times New Roman"/>
          <w:sz w:val="22"/>
          <w:szCs w:val="22"/>
        </w:rPr>
      </w:pPr>
    </w:p>
    <w:p w14:paraId="0E33E65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hanging="1080"/>
        <w:textAlignment w:val="auto"/>
        <w:rPr>
          <w:rFonts w:ascii="Times New Roman" w:hAnsi="Times New Roman"/>
          <w:sz w:val="22"/>
          <w:szCs w:val="22"/>
        </w:rPr>
      </w:pPr>
      <w:r w:rsidRPr="00F82997">
        <w:rPr>
          <w:rFonts w:ascii="Times New Roman" w:hAnsi="Times New Roman"/>
          <w:b/>
          <w:bCs/>
          <w:sz w:val="22"/>
          <w:szCs w:val="22"/>
        </w:rPr>
        <w:tab/>
      </w:r>
      <w:r w:rsidRPr="00F82997">
        <w:rPr>
          <w:rFonts w:ascii="Times New Roman" w:hAnsi="Times New Roman"/>
          <w:b/>
          <w:bCs/>
          <w:sz w:val="22"/>
          <w:szCs w:val="22"/>
        </w:rPr>
        <w:tab/>
      </w:r>
      <w:r w:rsidRPr="00F82997">
        <w:rPr>
          <w:rFonts w:ascii="Times New Roman" w:hAnsi="Times New Roman"/>
          <w:b/>
          <w:bCs/>
          <w:i/>
          <w:iCs/>
          <w:sz w:val="22"/>
          <w:szCs w:val="22"/>
        </w:rPr>
        <w:t>Delete</w:t>
      </w:r>
      <w:r w:rsidRPr="00F82997">
        <w:rPr>
          <w:rFonts w:ascii="Times New Roman" w:hAnsi="Times New Roman"/>
          <w:b/>
          <w:bCs/>
          <w:sz w:val="22"/>
          <w:szCs w:val="22"/>
        </w:rPr>
        <w:t xml:space="preserve"> </w:t>
      </w:r>
      <w:r w:rsidRPr="00F82997">
        <w:rPr>
          <w:rFonts w:ascii="Times New Roman" w:hAnsi="Times New Roman"/>
          <w:sz w:val="22"/>
          <w:szCs w:val="22"/>
        </w:rPr>
        <w:t xml:space="preserve">“International Plumbing Code”; </w:t>
      </w:r>
      <w:r w:rsidRPr="00F82997">
        <w:rPr>
          <w:rFonts w:ascii="Times New Roman" w:hAnsi="Times New Roman"/>
          <w:i/>
          <w:iCs/>
          <w:sz w:val="22"/>
          <w:szCs w:val="22"/>
        </w:rPr>
        <w:t>and</w:t>
      </w:r>
    </w:p>
    <w:p w14:paraId="7818809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right="360" w:hanging="1080"/>
        <w:textAlignment w:val="auto"/>
        <w:rPr>
          <w:rFonts w:ascii="Times New Roman" w:hAnsi="Times New Roman"/>
          <w:sz w:val="22"/>
          <w:szCs w:val="22"/>
        </w:rPr>
      </w:pPr>
      <w:r w:rsidRPr="00F82997">
        <w:rPr>
          <w:rFonts w:ascii="Times New Roman" w:hAnsi="Times New Roman"/>
          <w:b/>
          <w:i/>
          <w:sz w:val="22"/>
          <w:szCs w:val="22"/>
        </w:rPr>
        <w:tab/>
      </w:r>
      <w:r w:rsidRPr="00F82997">
        <w:rPr>
          <w:rFonts w:ascii="Times New Roman" w:hAnsi="Times New Roman"/>
          <w:b/>
          <w:i/>
          <w:sz w:val="22"/>
          <w:szCs w:val="22"/>
        </w:rPr>
        <w:tab/>
        <w:t>Insert</w:t>
      </w:r>
      <w:r w:rsidRPr="00F82997">
        <w:rPr>
          <w:rFonts w:ascii="Times New Roman" w:hAnsi="Times New Roman"/>
          <w:sz w:val="22"/>
          <w:szCs w:val="22"/>
        </w:rPr>
        <w:t xml:space="preserve"> “Maine State Plumbing Code, adopted pursuant to Title 32, M.R.S §3404-B” in its place.</w:t>
      </w:r>
    </w:p>
    <w:p w14:paraId="5F0999F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E64574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w:t>
      </w:r>
      <w:r w:rsidRPr="00F82997">
        <w:rPr>
          <w:rFonts w:ascii="Times New Roman" w:hAnsi="Times New Roman"/>
          <w:sz w:val="22"/>
          <w:szCs w:val="22"/>
        </w:rPr>
        <w:tab/>
        <w:t>Generally in all sections</w:t>
      </w:r>
    </w:p>
    <w:p w14:paraId="3A75CBC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417BB4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“International Fire Code” ; </w:t>
      </w:r>
      <w:r w:rsidRPr="00F82997">
        <w:rPr>
          <w:rFonts w:ascii="Times New Roman" w:hAnsi="Times New Roman"/>
          <w:i/>
          <w:iCs/>
          <w:sz w:val="22"/>
          <w:szCs w:val="22"/>
        </w:rPr>
        <w:t>and</w:t>
      </w:r>
    </w:p>
    <w:p w14:paraId="2D797EA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“NFPA 1; Fire codes and standards adopted pursuant to Title 25 M.R.S. §§ 2452 and 2465” in its place.</w:t>
      </w:r>
    </w:p>
    <w:p w14:paraId="28FC5B9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4521C3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F82997">
        <w:rPr>
          <w:rFonts w:ascii="Times New Roman" w:hAnsi="Times New Roman"/>
          <w:sz w:val="22"/>
          <w:szCs w:val="22"/>
        </w:rPr>
        <w:lastRenderedPageBreak/>
        <w:t>4.</w:t>
      </w:r>
      <w:r w:rsidRPr="00F82997">
        <w:rPr>
          <w:rFonts w:ascii="Times New Roman" w:hAnsi="Times New Roman"/>
          <w:sz w:val="22"/>
          <w:szCs w:val="22"/>
        </w:rPr>
        <w:tab/>
        <w:t>Section 101.1</w:t>
      </w:r>
    </w:p>
    <w:p w14:paraId="0D11A04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83EC17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sz w:val="22"/>
          <w:szCs w:val="22"/>
        </w:rPr>
      </w:pPr>
      <w:r w:rsidRPr="00F82997">
        <w:rPr>
          <w:rFonts w:ascii="Times New Roman" w:hAnsi="Times New Roman"/>
          <w:b/>
          <w:iCs/>
          <w:sz w:val="22"/>
          <w:szCs w:val="22"/>
        </w:rPr>
        <w:t>Delete</w:t>
      </w:r>
      <w:r w:rsidRPr="00F82997">
        <w:rPr>
          <w:rFonts w:ascii="Times New Roman" w:hAnsi="Times New Roman"/>
          <w:iCs/>
          <w:sz w:val="22"/>
          <w:szCs w:val="22"/>
        </w:rPr>
        <w:t xml:space="preserve"> </w:t>
      </w:r>
      <w:r w:rsidRPr="00F82997">
        <w:rPr>
          <w:rFonts w:ascii="Times New Roman" w:hAnsi="Times New Roman"/>
          <w:sz w:val="22"/>
          <w:szCs w:val="22"/>
        </w:rPr>
        <w:t xml:space="preserve">[NAME OF JURISDICTION]; </w:t>
      </w:r>
      <w:r w:rsidRPr="00F82997">
        <w:rPr>
          <w:rFonts w:ascii="Times New Roman" w:hAnsi="Times New Roman"/>
          <w:i/>
          <w:sz w:val="22"/>
          <w:szCs w:val="22"/>
        </w:rPr>
        <w:t>and</w:t>
      </w:r>
    </w:p>
    <w:p w14:paraId="1A9023B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iCs/>
          <w:sz w:val="22"/>
          <w:szCs w:val="22"/>
        </w:rPr>
        <w:t>Insert</w:t>
      </w:r>
      <w:r w:rsidRPr="00F82997">
        <w:rPr>
          <w:rFonts w:ascii="Times New Roman" w:hAnsi="Times New Roman"/>
          <w:iCs/>
          <w:sz w:val="22"/>
          <w:szCs w:val="22"/>
        </w:rPr>
        <w:t xml:space="preserve"> </w:t>
      </w:r>
      <w:r w:rsidRPr="00F82997">
        <w:rPr>
          <w:rFonts w:ascii="Times New Roman" w:hAnsi="Times New Roman"/>
          <w:sz w:val="22"/>
          <w:szCs w:val="22"/>
        </w:rPr>
        <w:t>“State of Maine” in its place.</w:t>
      </w:r>
    </w:p>
    <w:p w14:paraId="26B6A2C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4790A0B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5.</w:t>
      </w:r>
      <w:r w:rsidRPr="00F82997">
        <w:rPr>
          <w:rFonts w:ascii="Times New Roman" w:hAnsi="Times New Roman"/>
          <w:sz w:val="22"/>
          <w:szCs w:val="22"/>
        </w:rPr>
        <w:tab/>
        <w:t>Section 102.7</w:t>
      </w:r>
    </w:p>
    <w:p w14:paraId="1271505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023C94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(after “new installations”) “see Maine Trade Board’s rules for compliance.”</w:t>
      </w:r>
    </w:p>
    <w:p w14:paraId="17ECD6E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3FCFAE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6.</w:t>
      </w:r>
      <w:r w:rsidRPr="00F82997">
        <w:rPr>
          <w:rFonts w:ascii="Times New Roman" w:hAnsi="Times New Roman"/>
          <w:sz w:val="22"/>
          <w:szCs w:val="22"/>
        </w:rPr>
        <w:tab/>
        <w:t>Section 102.8.1</w:t>
      </w:r>
    </w:p>
    <w:p w14:paraId="4B33AAA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827481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section) “See Section 2 Authority of the MUBEC Chapter 7.”</w:t>
      </w:r>
    </w:p>
    <w:p w14:paraId="3605C91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1700415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7.</w:t>
      </w:r>
      <w:r w:rsidRPr="00F82997">
        <w:rPr>
          <w:rFonts w:ascii="Times New Roman" w:hAnsi="Times New Roman"/>
          <w:sz w:val="22"/>
          <w:szCs w:val="22"/>
        </w:rPr>
        <w:tab/>
        <w:t>Section 102.8.2</w:t>
      </w:r>
    </w:p>
    <w:p w14:paraId="7FD6584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D04864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section) “See Section 2 Authority of the MUBEC Chapter 7.”</w:t>
      </w:r>
    </w:p>
    <w:p w14:paraId="11A176A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7A523C2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8.</w:t>
      </w:r>
      <w:r w:rsidRPr="00F82997">
        <w:rPr>
          <w:rFonts w:ascii="Times New Roman" w:hAnsi="Times New Roman"/>
          <w:sz w:val="22"/>
          <w:szCs w:val="22"/>
        </w:rPr>
        <w:tab/>
        <w:t>Section 103</w:t>
      </w:r>
    </w:p>
    <w:p w14:paraId="3FDADA0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9EAC5A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b/>
          <w:bCs/>
          <w:sz w:val="22"/>
          <w:szCs w:val="22"/>
        </w:rPr>
        <w:t xml:space="preserve"> </w:t>
      </w:r>
      <w:r w:rsidRPr="00F82997">
        <w:rPr>
          <w:rFonts w:ascii="Times New Roman" w:hAnsi="Times New Roman"/>
          <w:sz w:val="22"/>
          <w:szCs w:val="22"/>
        </w:rPr>
        <w:t>Section 103 in its entirety.</w:t>
      </w:r>
    </w:p>
    <w:p w14:paraId="4EADC80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BE0648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trike/>
          <w:sz w:val="22"/>
          <w:szCs w:val="22"/>
        </w:rPr>
      </w:pPr>
      <w:r w:rsidRPr="00F82997">
        <w:rPr>
          <w:rFonts w:ascii="Times New Roman" w:hAnsi="Times New Roman"/>
          <w:sz w:val="22"/>
          <w:szCs w:val="22"/>
        </w:rPr>
        <w:tab/>
      </w:r>
    </w:p>
    <w:p w14:paraId="6A7D65A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 xml:space="preserve">9. </w:t>
      </w:r>
      <w:r w:rsidRPr="00F82997">
        <w:rPr>
          <w:rFonts w:ascii="Times New Roman" w:hAnsi="Times New Roman"/>
          <w:sz w:val="22"/>
          <w:szCs w:val="22"/>
        </w:rPr>
        <w:tab/>
        <w:t>Section 104.2</w:t>
      </w:r>
    </w:p>
    <w:p w14:paraId="67B1DD5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D84F70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(at the beginning of the text) “Where applicable,”</w:t>
      </w:r>
    </w:p>
    <w:p w14:paraId="61055F4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p>
    <w:p w14:paraId="2625B05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10.</w:t>
      </w:r>
      <w:r w:rsidRPr="00F82997">
        <w:rPr>
          <w:rFonts w:ascii="Times New Roman" w:hAnsi="Times New Roman"/>
          <w:sz w:val="22"/>
          <w:szCs w:val="22"/>
        </w:rPr>
        <w:tab/>
        <w:t>Section 104.3</w:t>
      </w:r>
    </w:p>
    <w:p w14:paraId="0EEAC94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0379FA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(at the beginning of the text) “Where applicable,”</w:t>
      </w:r>
    </w:p>
    <w:p w14:paraId="50F57A4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45FD13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 xml:space="preserve">11. </w:t>
      </w:r>
      <w:r w:rsidRPr="00F82997">
        <w:rPr>
          <w:rFonts w:ascii="Times New Roman" w:hAnsi="Times New Roman"/>
          <w:sz w:val="22"/>
          <w:szCs w:val="22"/>
        </w:rPr>
        <w:tab/>
        <w:t>Section 106.1.1</w:t>
      </w:r>
    </w:p>
    <w:p w14:paraId="1AEB629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331E25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106.1.1 in its entirety.</w:t>
      </w:r>
    </w:p>
    <w:p w14:paraId="3BC5193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366401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 xml:space="preserve">12. </w:t>
      </w:r>
      <w:r w:rsidRPr="00F82997">
        <w:rPr>
          <w:rFonts w:ascii="Times New Roman" w:hAnsi="Times New Roman"/>
          <w:sz w:val="22"/>
          <w:szCs w:val="22"/>
        </w:rPr>
        <w:tab/>
        <w:t>Section 106.1.2</w:t>
      </w:r>
    </w:p>
    <w:p w14:paraId="54B62AD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B957A0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106.1.2 in its entirety.</w:t>
      </w:r>
    </w:p>
    <w:p w14:paraId="607834A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E8945F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13.</w:t>
      </w:r>
      <w:r w:rsidRPr="00F82997">
        <w:rPr>
          <w:rFonts w:ascii="Times New Roman" w:hAnsi="Times New Roman"/>
          <w:sz w:val="22"/>
          <w:szCs w:val="22"/>
        </w:rPr>
        <w:tab/>
        <w:t>Section 108.2</w:t>
      </w:r>
    </w:p>
    <w:p w14:paraId="734EA16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 xml:space="preserve"> </w:t>
      </w:r>
    </w:p>
    <w:p w14:paraId="2A93942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“Required inspections and testing.”; </w:t>
      </w:r>
      <w:r w:rsidRPr="00F82997">
        <w:rPr>
          <w:rFonts w:ascii="Times New Roman" w:hAnsi="Times New Roman"/>
          <w:i/>
          <w:iCs/>
          <w:sz w:val="22"/>
          <w:szCs w:val="22"/>
        </w:rPr>
        <w:t>and</w:t>
      </w:r>
    </w:p>
    <w:p w14:paraId="7AA7C05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Section 2 Authority of the MUBEC Chapter 7.” in its place.</w:t>
      </w:r>
    </w:p>
    <w:p w14:paraId="108A7C1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BC8022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14.</w:t>
      </w:r>
      <w:r w:rsidRPr="00F82997">
        <w:rPr>
          <w:rFonts w:ascii="Times New Roman" w:hAnsi="Times New Roman"/>
          <w:sz w:val="22"/>
          <w:szCs w:val="22"/>
        </w:rPr>
        <w:tab/>
        <w:t xml:space="preserve">Section 108.3 </w:t>
      </w:r>
    </w:p>
    <w:p w14:paraId="3306A28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095D62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“Testing.”; </w:t>
      </w:r>
      <w:r w:rsidRPr="00F82997">
        <w:rPr>
          <w:rFonts w:ascii="Times New Roman" w:hAnsi="Times New Roman"/>
          <w:i/>
          <w:iCs/>
          <w:sz w:val="22"/>
          <w:szCs w:val="22"/>
        </w:rPr>
        <w:t>and</w:t>
      </w:r>
    </w:p>
    <w:p w14:paraId="2F45907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Section 2 Authority of the MUBEC Chapter 7.” in its place.</w:t>
      </w:r>
    </w:p>
    <w:p w14:paraId="1AC3766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7A2131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15.</w:t>
      </w:r>
      <w:r w:rsidRPr="00F82997">
        <w:rPr>
          <w:rFonts w:ascii="Times New Roman" w:hAnsi="Times New Roman"/>
          <w:sz w:val="22"/>
          <w:szCs w:val="22"/>
        </w:rPr>
        <w:tab/>
        <w:t>Section 109</w:t>
      </w:r>
    </w:p>
    <w:p w14:paraId="7FC3A36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F61D51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109 in its entirety. </w:t>
      </w:r>
    </w:p>
    <w:p w14:paraId="3739495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BBF9B5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16.</w:t>
      </w:r>
      <w:r w:rsidRPr="00F82997">
        <w:rPr>
          <w:rFonts w:ascii="Times New Roman" w:hAnsi="Times New Roman"/>
          <w:sz w:val="22"/>
          <w:szCs w:val="22"/>
        </w:rPr>
        <w:tab/>
        <w:t>Section 114</w:t>
      </w:r>
    </w:p>
    <w:p w14:paraId="70B6774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0A942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114 in its entirety; </w:t>
      </w:r>
      <w:r w:rsidRPr="00F82997">
        <w:rPr>
          <w:rFonts w:ascii="Times New Roman" w:hAnsi="Times New Roman"/>
          <w:i/>
          <w:iCs/>
          <w:sz w:val="22"/>
          <w:szCs w:val="22"/>
        </w:rPr>
        <w:t xml:space="preserve"> and</w:t>
      </w:r>
      <w:r w:rsidRPr="00F82997">
        <w:rPr>
          <w:rFonts w:ascii="Times New Roman" w:hAnsi="Times New Roman"/>
          <w:sz w:val="22"/>
          <w:szCs w:val="22"/>
        </w:rPr>
        <w:t xml:space="preserve"> </w:t>
      </w:r>
    </w:p>
    <w:p w14:paraId="67E20F8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Section 2 Authority of the MUBEC Chapter 7.” in its place.</w:t>
      </w:r>
    </w:p>
    <w:p w14:paraId="6679AD5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4FAD40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17.</w:t>
      </w:r>
      <w:r w:rsidRPr="00F82997">
        <w:rPr>
          <w:rFonts w:ascii="Times New Roman" w:hAnsi="Times New Roman"/>
          <w:sz w:val="22"/>
          <w:szCs w:val="22"/>
        </w:rPr>
        <w:tab/>
        <w:t>Section 115</w:t>
      </w:r>
    </w:p>
    <w:p w14:paraId="05A4844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372938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115 in its entirety; </w:t>
      </w:r>
      <w:r w:rsidRPr="00F82997">
        <w:rPr>
          <w:rFonts w:ascii="Times New Roman" w:hAnsi="Times New Roman"/>
          <w:i/>
          <w:iCs/>
          <w:sz w:val="22"/>
          <w:szCs w:val="22"/>
        </w:rPr>
        <w:t>and</w:t>
      </w:r>
    </w:p>
    <w:p w14:paraId="2D9324D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Section 2 Authority of the MUBEC Chapter 7.” in its place.</w:t>
      </w:r>
    </w:p>
    <w:p w14:paraId="00F95B2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92A6AC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B4EB04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18.</w:t>
      </w:r>
      <w:r w:rsidRPr="00F82997">
        <w:rPr>
          <w:rFonts w:ascii="Times New Roman" w:hAnsi="Times New Roman"/>
          <w:sz w:val="22"/>
          <w:szCs w:val="22"/>
        </w:rPr>
        <w:tab/>
        <w:t>Section 202</w:t>
      </w:r>
    </w:p>
    <w:p w14:paraId="44CC84E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513834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definition for “APPLIANCE VENTED”; </w:t>
      </w:r>
      <w:r w:rsidRPr="00F82997">
        <w:rPr>
          <w:rFonts w:ascii="Times New Roman" w:hAnsi="Times New Roman"/>
          <w:i/>
          <w:iCs/>
          <w:sz w:val="22"/>
          <w:szCs w:val="22"/>
        </w:rPr>
        <w:t>and</w:t>
      </w:r>
    </w:p>
    <w:p w14:paraId="08A05A8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ABE43D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03E460F" w14:textId="77777777" w:rsidR="00F82997" w:rsidRPr="00F82997" w:rsidRDefault="00F82997" w:rsidP="00F82997">
      <w:pPr>
        <w:overflowPunct/>
        <w:autoSpaceDE/>
        <w:autoSpaceDN/>
        <w:adjustRightInd/>
        <w:textAlignment w:val="auto"/>
        <w:rPr>
          <w:rFonts w:ascii="Times New Roman" w:hAnsi="Times New Roman"/>
          <w:sz w:val="24"/>
          <w:szCs w:val="24"/>
        </w:rPr>
      </w:pPr>
      <w:r w:rsidRPr="00F82997">
        <w:rPr>
          <w:rFonts w:ascii="Times New Roman" w:hAnsi="Times New Roman"/>
          <w:b/>
          <w:bCs/>
          <w:i/>
          <w:iCs/>
          <w:sz w:val="22"/>
          <w:szCs w:val="22"/>
        </w:rPr>
        <w:tab/>
      </w:r>
      <w:r w:rsidRPr="00F82997">
        <w:rPr>
          <w:rFonts w:ascii="Times New Roman" w:hAnsi="Times New Roman"/>
          <w:b/>
          <w:bCs/>
          <w:i/>
          <w:iCs/>
          <w:sz w:val="22"/>
          <w:szCs w:val="22"/>
        </w:rPr>
        <w:tab/>
        <w:t>Delete</w:t>
      </w:r>
      <w:r w:rsidRPr="00F82997">
        <w:rPr>
          <w:rFonts w:ascii="Times New Roman" w:hAnsi="Times New Roman"/>
          <w:sz w:val="22"/>
          <w:szCs w:val="22"/>
        </w:rPr>
        <w:t xml:space="preserve"> definition for “</w:t>
      </w:r>
      <w:r w:rsidRPr="00F82997">
        <w:rPr>
          <w:rFonts w:ascii="Times New Roman" w:hAnsi="Times New Roman"/>
          <w:sz w:val="24"/>
          <w:szCs w:val="24"/>
        </w:rPr>
        <w:t xml:space="preserve">APPLIANCE TYPE. </w:t>
      </w:r>
      <w:r w:rsidRPr="00F82997">
        <w:rPr>
          <w:rFonts w:ascii="Times New Roman" w:hAnsi="Times New Roman"/>
          <w:sz w:val="22"/>
          <w:szCs w:val="22"/>
        </w:rPr>
        <w:t xml:space="preserve">High-heat appliance”; </w:t>
      </w:r>
      <w:r w:rsidRPr="00F82997">
        <w:rPr>
          <w:rFonts w:ascii="Times New Roman" w:hAnsi="Times New Roman"/>
          <w:i/>
          <w:iCs/>
          <w:sz w:val="22"/>
          <w:szCs w:val="22"/>
        </w:rPr>
        <w:t>and</w:t>
      </w:r>
    </w:p>
    <w:p w14:paraId="30127FF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50C3403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D83DEB0"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 xml:space="preserve">APPLIANCE TYPE. </w:t>
      </w:r>
      <w:r w:rsidRPr="00F82997">
        <w:rPr>
          <w:rFonts w:ascii="Times New Roman" w:hAnsi="Times New Roman"/>
          <w:sz w:val="22"/>
          <w:szCs w:val="22"/>
        </w:rPr>
        <w:t xml:space="preserve">Low-heat appliance </w:t>
      </w:r>
      <w:r w:rsidRPr="00F82997">
        <w:rPr>
          <w:rFonts w:ascii="Times New Roman" w:hAnsi="Times New Roman"/>
          <w:sz w:val="24"/>
          <w:szCs w:val="24"/>
        </w:rPr>
        <w:t>(residential appliance)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7702FC2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891161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0109AF8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 xml:space="preserve">APPLIANCE TYPE. </w:t>
      </w:r>
      <w:r w:rsidRPr="00F82997">
        <w:rPr>
          <w:rFonts w:ascii="Times New Roman" w:hAnsi="Times New Roman"/>
          <w:sz w:val="22"/>
          <w:szCs w:val="22"/>
        </w:rPr>
        <w:t xml:space="preserve">Medium-heat appliance”; </w:t>
      </w:r>
      <w:r w:rsidRPr="00F82997">
        <w:rPr>
          <w:rFonts w:ascii="Times New Roman" w:hAnsi="Times New Roman"/>
          <w:i/>
          <w:iCs/>
          <w:sz w:val="22"/>
          <w:szCs w:val="22"/>
        </w:rPr>
        <w:t>and</w:t>
      </w:r>
    </w:p>
    <w:p w14:paraId="6B9E82F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3B13F44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07905C56"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AUTOMATIC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4832F65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6621D3D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3AC94762"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56C457B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566BF0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11BB79CA"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w:t>
      </w:r>
      <w:r w:rsidRPr="00F82997">
        <w:rPr>
          <w:rFonts w:ascii="Times New Roman" w:hAnsi="Times New Roman"/>
          <w:sz w:val="22"/>
          <w:szCs w:val="22"/>
        </w:rPr>
        <w:t xml:space="preserve">”; </w:t>
      </w:r>
      <w:r w:rsidRPr="00F82997">
        <w:rPr>
          <w:rFonts w:ascii="Times New Roman" w:hAnsi="Times New Roman"/>
          <w:i/>
          <w:iCs/>
          <w:sz w:val="22"/>
          <w:szCs w:val="22"/>
        </w:rPr>
        <w:t>and</w:t>
      </w:r>
    </w:p>
    <w:p w14:paraId="603BF2B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6DBBA2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6829D8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 Factory-built chimney</w:t>
      </w:r>
      <w:r w:rsidRPr="00F82997">
        <w:rPr>
          <w:rFonts w:ascii="Times New Roman" w:hAnsi="Times New Roman"/>
          <w:sz w:val="22"/>
          <w:szCs w:val="22"/>
        </w:rPr>
        <w:t xml:space="preserve">”; </w:t>
      </w:r>
      <w:r w:rsidRPr="00F82997">
        <w:rPr>
          <w:rFonts w:ascii="Times New Roman" w:hAnsi="Times New Roman"/>
          <w:i/>
          <w:iCs/>
          <w:sz w:val="22"/>
          <w:szCs w:val="22"/>
        </w:rPr>
        <w:t>and</w:t>
      </w:r>
    </w:p>
    <w:p w14:paraId="3BE11E3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651720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
          <w:bCs/>
          <w:sz w:val="24"/>
          <w:szCs w:val="24"/>
        </w:rPr>
      </w:pPr>
    </w:p>
    <w:p w14:paraId="3D908A61"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 Masonry chimney</w:t>
      </w:r>
      <w:r w:rsidRPr="00F82997">
        <w:rPr>
          <w:rFonts w:ascii="Times New Roman" w:hAnsi="Times New Roman"/>
          <w:sz w:val="22"/>
          <w:szCs w:val="22"/>
        </w:rPr>
        <w:t xml:space="preserve">”; </w:t>
      </w:r>
      <w:r w:rsidRPr="00F82997">
        <w:rPr>
          <w:rFonts w:ascii="Times New Roman" w:hAnsi="Times New Roman"/>
          <w:i/>
          <w:iCs/>
          <w:sz w:val="22"/>
          <w:szCs w:val="22"/>
        </w:rPr>
        <w:t>and</w:t>
      </w:r>
    </w:p>
    <w:p w14:paraId="6D196D2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37E2B3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b/>
          <w:bCs/>
          <w:sz w:val="24"/>
          <w:szCs w:val="24"/>
        </w:rPr>
      </w:pPr>
    </w:p>
    <w:p w14:paraId="1A4BDA88"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 Metal chimney</w:t>
      </w:r>
      <w:r w:rsidRPr="00F82997">
        <w:rPr>
          <w:rFonts w:ascii="Times New Roman" w:hAnsi="Times New Roman"/>
          <w:sz w:val="22"/>
          <w:szCs w:val="22"/>
        </w:rPr>
        <w:t xml:space="preserve">”; </w:t>
      </w:r>
      <w:r w:rsidRPr="00F82997">
        <w:rPr>
          <w:rFonts w:ascii="Times New Roman" w:hAnsi="Times New Roman"/>
          <w:i/>
          <w:iCs/>
          <w:sz w:val="22"/>
          <w:szCs w:val="22"/>
        </w:rPr>
        <w:t>and</w:t>
      </w:r>
    </w:p>
    <w:p w14:paraId="6B0B642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F0F0B35"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6F2DC9A4"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CHIMNEY CONNECTOR</w:t>
      </w:r>
      <w:r w:rsidRPr="00F82997">
        <w:rPr>
          <w:rFonts w:ascii="Times New Roman" w:hAnsi="Times New Roman"/>
          <w:sz w:val="22"/>
          <w:szCs w:val="22"/>
        </w:rPr>
        <w:t xml:space="preserve">”; </w:t>
      </w:r>
      <w:r w:rsidRPr="00F82997">
        <w:rPr>
          <w:rFonts w:ascii="Times New Roman" w:hAnsi="Times New Roman"/>
          <w:i/>
          <w:iCs/>
          <w:sz w:val="22"/>
          <w:szCs w:val="22"/>
        </w:rPr>
        <w:t>and</w:t>
      </w:r>
    </w:p>
    <w:p w14:paraId="4A9D8D2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93D766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5F30CDA"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CLOSED COMBUSTION SOLID-FUEL-BURNING APPLIANCE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3840E81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D141BC9"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777AC3A9"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COMBUSTIBLE MATERIAL</w:t>
      </w:r>
      <w:r w:rsidRPr="00F82997">
        <w:rPr>
          <w:rFonts w:ascii="Times New Roman" w:hAnsi="Times New Roman"/>
          <w:sz w:val="22"/>
          <w:szCs w:val="22"/>
        </w:rPr>
        <w:t xml:space="preserve">”; </w:t>
      </w:r>
      <w:r w:rsidRPr="00F82997">
        <w:rPr>
          <w:rFonts w:ascii="Times New Roman" w:hAnsi="Times New Roman"/>
          <w:i/>
          <w:iCs/>
          <w:sz w:val="22"/>
          <w:szCs w:val="22"/>
        </w:rPr>
        <w:t>and</w:t>
      </w:r>
    </w:p>
    <w:p w14:paraId="3BB11BD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485BAE2"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695F3748"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CONVERSION BURNER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04D8B46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88E8953"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5F36F2D1"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[FG] DIRECT-VENT APPLIANCES</w:t>
      </w:r>
      <w:r w:rsidRPr="00F82997">
        <w:rPr>
          <w:rFonts w:ascii="Times New Roman" w:hAnsi="Times New Roman"/>
          <w:sz w:val="22"/>
          <w:szCs w:val="22"/>
        </w:rPr>
        <w:t xml:space="preserve">”; </w:t>
      </w:r>
      <w:r w:rsidRPr="00F82997">
        <w:rPr>
          <w:rFonts w:ascii="Times New Roman" w:hAnsi="Times New Roman"/>
          <w:i/>
          <w:iCs/>
          <w:sz w:val="22"/>
          <w:szCs w:val="22"/>
        </w:rPr>
        <w:t>and</w:t>
      </w:r>
    </w:p>
    <w:p w14:paraId="5A0E289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lastRenderedPageBreak/>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6C37516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13B2A53"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DRAFT</w:t>
      </w:r>
      <w:r w:rsidRPr="00F82997">
        <w:rPr>
          <w:rFonts w:ascii="Times New Roman" w:hAnsi="Times New Roman"/>
          <w:sz w:val="22"/>
          <w:szCs w:val="22"/>
        </w:rPr>
        <w:t xml:space="preserve">”; </w:t>
      </w:r>
      <w:r w:rsidRPr="00F82997">
        <w:rPr>
          <w:rFonts w:ascii="Times New Roman" w:hAnsi="Times New Roman"/>
          <w:i/>
          <w:iCs/>
          <w:sz w:val="22"/>
          <w:szCs w:val="22"/>
        </w:rPr>
        <w:t>and</w:t>
      </w:r>
    </w:p>
    <w:p w14:paraId="75D36B5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AC9195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1FDDA52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DRAFT. Induced draft</w:t>
      </w:r>
      <w:r w:rsidRPr="00F82997">
        <w:rPr>
          <w:rFonts w:ascii="Times New Roman" w:hAnsi="Times New Roman"/>
          <w:sz w:val="22"/>
          <w:szCs w:val="22"/>
        </w:rPr>
        <w:t xml:space="preserve">”; </w:t>
      </w:r>
      <w:r w:rsidRPr="00F82997">
        <w:rPr>
          <w:rFonts w:ascii="Times New Roman" w:hAnsi="Times New Roman"/>
          <w:i/>
          <w:iCs/>
          <w:sz w:val="22"/>
          <w:szCs w:val="22"/>
        </w:rPr>
        <w:t>and</w:t>
      </w:r>
    </w:p>
    <w:p w14:paraId="15148EE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50BAD1F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A15C45A"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DRAFT. Natural draft</w:t>
      </w:r>
      <w:r w:rsidRPr="00F82997">
        <w:rPr>
          <w:rFonts w:ascii="Times New Roman" w:hAnsi="Times New Roman"/>
          <w:sz w:val="22"/>
          <w:szCs w:val="22"/>
        </w:rPr>
        <w:t xml:space="preserve">”; </w:t>
      </w:r>
      <w:r w:rsidRPr="00F82997">
        <w:rPr>
          <w:rFonts w:ascii="Times New Roman" w:hAnsi="Times New Roman"/>
          <w:i/>
          <w:iCs/>
          <w:sz w:val="22"/>
          <w:szCs w:val="22"/>
        </w:rPr>
        <w:t>and</w:t>
      </w:r>
    </w:p>
    <w:p w14:paraId="201A7F7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33980E9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B743F9F"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DUCT FURNACE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65B99A4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C6004F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AAA23AF"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[FG] FLOOR FURNACE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5C27C8C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D4DD90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E8BA282"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[FG] FLUE GASES</w:t>
      </w:r>
      <w:r w:rsidRPr="00F82997">
        <w:rPr>
          <w:rFonts w:ascii="Times New Roman" w:hAnsi="Times New Roman"/>
          <w:sz w:val="22"/>
          <w:szCs w:val="22"/>
        </w:rPr>
        <w:t xml:space="preserve">”; </w:t>
      </w:r>
      <w:r w:rsidRPr="00F82997">
        <w:rPr>
          <w:rFonts w:ascii="Times New Roman" w:hAnsi="Times New Roman"/>
          <w:i/>
          <w:iCs/>
          <w:sz w:val="22"/>
          <w:szCs w:val="22"/>
        </w:rPr>
        <w:t>and</w:t>
      </w:r>
    </w:p>
    <w:p w14:paraId="3DE61B4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3FB192F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1A60DB17"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[FG] FUEL GAS</w:t>
      </w:r>
      <w:r w:rsidRPr="00F82997">
        <w:rPr>
          <w:rFonts w:ascii="Times New Roman" w:hAnsi="Times New Roman"/>
          <w:sz w:val="22"/>
          <w:szCs w:val="22"/>
        </w:rPr>
        <w:t xml:space="preserve">”; </w:t>
      </w:r>
      <w:r w:rsidRPr="00F82997">
        <w:rPr>
          <w:rFonts w:ascii="Times New Roman" w:hAnsi="Times New Roman"/>
          <w:i/>
          <w:iCs/>
          <w:sz w:val="22"/>
          <w:szCs w:val="22"/>
        </w:rPr>
        <w:t>and</w:t>
      </w:r>
    </w:p>
    <w:p w14:paraId="10C1B96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2F2792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5B1F0471"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FUEL OIL</w:t>
      </w:r>
      <w:r w:rsidRPr="00F82997">
        <w:rPr>
          <w:rFonts w:ascii="Times New Roman" w:hAnsi="Times New Roman"/>
          <w:sz w:val="22"/>
          <w:szCs w:val="22"/>
        </w:rPr>
        <w:t xml:space="preserve">”; </w:t>
      </w:r>
      <w:r w:rsidRPr="00F82997">
        <w:rPr>
          <w:rFonts w:ascii="Times New Roman" w:hAnsi="Times New Roman"/>
          <w:i/>
          <w:iCs/>
          <w:sz w:val="22"/>
          <w:szCs w:val="22"/>
        </w:rPr>
        <w:t>and</w:t>
      </w:r>
    </w:p>
    <w:p w14:paraId="4FFA484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FB3B4D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3C2D8F45"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FUEL-OIL PIPING SYSTEM</w:t>
      </w:r>
      <w:r w:rsidRPr="00F82997">
        <w:rPr>
          <w:rFonts w:ascii="Times New Roman" w:hAnsi="Times New Roman"/>
          <w:sz w:val="22"/>
          <w:szCs w:val="22"/>
        </w:rPr>
        <w:t xml:space="preserve">”; </w:t>
      </w:r>
      <w:r w:rsidRPr="00F82997">
        <w:rPr>
          <w:rFonts w:ascii="Times New Roman" w:hAnsi="Times New Roman"/>
          <w:i/>
          <w:iCs/>
          <w:sz w:val="22"/>
          <w:szCs w:val="22"/>
        </w:rPr>
        <w:t>and</w:t>
      </w:r>
    </w:p>
    <w:p w14:paraId="3ADE2AE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81FA0E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06D7DDC"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FURNACE</w:t>
      </w:r>
      <w:r w:rsidRPr="00F82997">
        <w:rPr>
          <w:rFonts w:ascii="Times New Roman" w:hAnsi="Times New Roman"/>
          <w:sz w:val="22"/>
          <w:szCs w:val="22"/>
        </w:rPr>
        <w:t xml:space="preserve">”; </w:t>
      </w:r>
      <w:r w:rsidRPr="00F82997">
        <w:rPr>
          <w:rFonts w:ascii="Times New Roman" w:hAnsi="Times New Roman"/>
          <w:i/>
          <w:iCs/>
          <w:sz w:val="22"/>
          <w:szCs w:val="22"/>
        </w:rPr>
        <w:t>and</w:t>
      </w:r>
    </w:p>
    <w:p w14:paraId="3382522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995F43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8C794BC"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FURNACE ROOM</w:t>
      </w:r>
      <w:r w:rsidRPr="00F82997">
        <w:rPr>
          <w:rFonts w:ascii="Times New Roman" w:hAnsi="Times New Roman"/>
          <w:sz w:val="22"/>
          <w:szCs w:val="22"/>
        </w:rPr>
        <w:t xml:space="preserve">”; </w:t>
      </w:r>
      <w:r w:rsidRPr="00F82997">
        <w:rPr>
          <w:rFonts w:ascii="Times New Roman" w:hAnsi="Times New Roman"/>
          <w:i/>
          <w:iCs/>
          <w:sz w:val="22"/>
          <w:szCs w:val="22"/>
        </w:rPr>
        <w:t>and</w:t>
      </w:r>
    </w:p>
    <w:p w14:paraId="1BA1E29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C7D884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6E2D194"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all references to gas appliances from “HEAVY-DUTY COOKING APPLICANCE” definition; </w:t>
      </w:r>
      <w:r w:rsidRPr="00F82997">
        <w:rPr>
          <w:rFonts w:ascii="Times New Roman" w:hAnsi="Times New Roman"/>
          <w:i/>
          <w:iCs/>
          <w:sz w:val="22"/>
          <w:szCs w:val="22"/>
        </w:rPr>
        <w:t>and</w:t>
      </w:r>
    </w:p>
    <w:p w14:paraId="268F1247"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definition) “For gas appliances, </w:t>
      </w:r>
      <w:r w:rsidRPr="00F82997">
        <w:rPr>
          <w:rFonts w:ascii="Times New Roman" w:hAnsi="Times New Roman"/>
          <w:sz w:val="24"/>
          <w:szCs w:val="24"/>
        </w:rPr>
        <w:t>see codes and standards adopted by PFR Board.”</w:t>
      </w:r>
    </w:p>
    <w:p w14:paraId="59BCFCC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239D647"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all references to gas appliances from “</w:t>
      </w:r>
      <w:r w:rsidRPr="00F82997">
        <w:rPr>
          <w:rFonts w:ascii="Times New Roman" w:hAnsi="Times New Roman"/>
          <w:sz w:val="24"/>
          <w:szCs w:val="24"/>
        </w:rPr>
        <w:t>LIGHT-DUTY COOKING APPLIANCE</w:t>
      </w:r>
      <w:r w:rsidRPr="00F82997">
        <w:rPr>
          <w:rFonts w:ascii="Times New Roman" w:hAnsi="Times New Roman"/>
          <w:sz w:val="22"/>
          <w:szCs w:val="22"/>
        </w:rPr>
        <w:t xml:space="preserve">” definition; </w:t>
      </w:r>
      <w:r w:rsidRPr="00F82997">
        <w:rPr>
          <w:rFonts w:ascii="Times New Roman" w:hAnsi="Times New Roman"/>
          <w:i/>
          <w:iCs/>
          <w:sz w:val="22"/>
          <w:szCs w:val="22"/>
        </w:rPr>
        <w:t xml:space="preserve">and </w:t>
      </w:r>
    </w:p>
    <w:p w14:paraId="3FDE2AE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definition) “</w:t>
      </w:r>
      <w:r w:rsidRPr="00F82997">
        <w:rPr>
          <w:rFonts w:ascii="Times New Roman" w:hAnsi="Times New Roman"/>
          <w:sz w:val="24"/>
          <w:szCs w:val="24"/>
        </w:rPr>
        <w:t>For gas appliances, see codes and standards adopted by PFR Board.”</w:t>
      </w:r>
    </w:p>
    <w:p w14:paraId="4921845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5DFBB74"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[F] LOWER FLAMMABLE LIMIT (LFL)</w:t>
      </w:r>
      <w:r w:rsidRPr="00F82997">
        <w:rPr>
          <w:rFonts w:ascii="Times New Roman" w:hAnsi="Times New Roman"/>
          <w:sz w:val="22"/>
          <w:szCs w:val="22"/>
        </w:rPr>
        <w:t xml:space="preserve">”; </w:t>
      </w:r>
      <w:r w:rsidRPr="00F82997">
        <w:rPr>
          <w:rFonts w:ascii="Times New Roman" w:hAnsi="Times New Roman"/>
          <w:i/>
          <w:iCs/>
          <w:sz w:val="22"/>
          <w:szCs w:val="22"/>
        </w:rPr>
        <w:t>and</w:t>
      </w:r>
    </w:p>
    <w:p w14:paraId="1327188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5DE590AB"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AEBD9D8"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LOW-PRESSURE HOT-WATER-HEATING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5511189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BEA6DD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3B84C864"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LOW-PRESSURE STEAM-HEATING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700884C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lastRenderedPageBreak/>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1D9FDE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2EEC229" w14:textId="77777777" w:rsidR="00F82997" w:rsidRPr="00F82997" w:rsidRDefault="00F82997" w:rsidP="00F82997">
      <w:pPr>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all references to gas appliances from “</w:t>
      </w:r>
      <w:r w:rsidRPr="00F82997">
        <w:rPr>
          <w:rFonts w:ascii="Times New Roman" w:hAnsi="Times New Roman"/>
          <w:sz w:val="24"/>
          <w:szCs w:val="24"/>
        </w:rPr>
        <w:t>MEDIUM-DUTY COOKING APPLIANCE</w:t>
      </w:r>
      <w:r w:rsidRPr="00F82997">
        <w:rPr>
          <w:rFonts w:ascii="Times New Roman" w:hAnsi="Times New Roman"/>
          <w:sz w:val="22"/>
          <w:szCs w:val="22"/>
        </w:rPr>
        <w:t xml:space="preserve">” definition; </w:t>
      </w:r>
      <w:r w:rsidRPr="00F82997">
        <w:rPr>
          <w:rFonts w:ascii="Times New Roman" w:hAnsi="Times New Roman"/>
          <w:i/>
          <w:iCs/>
          <w:sz w:val="22"/>
          <w:szCs w:val="22"/>
        </w:rPr>
        <w:t>and</w:t>
      </w:r>
    </w:p>
    <w:p w14:paraId="4C9B9C0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definition) “</w:t>
      </w:r>
      <w:r w:rsidRPr="00F82997">
        <w:rPr>
          <w:rFonts w:ascii="Times New Roman" w:hAnsi="Times New Roman"/>
          <w:sz w:val="24"/>
          <w:szCs w:val="24"/>
        </w:rPr>
        <w:t>For gas appliances, see codes and standards adopted by PFR Board.”</w:t>
      </w:r>
    </w:p>
    <w:p w14:paraId="08BD793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7DFB6BA"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MODULAR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0C71DA8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6DA636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032392BA"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NONCOMBUSTIBLE MATERIALS</w:t>
      </w:r>
      <w:r w:rsidRPr="00F82997">
        <w:rPr>
          <w:rFonts w:ascii="Times New Roman" w:hAnsi="Times New Roman"/>
          <w:sz w:val="22"/>
          <w:szCs w:val="22"/>
        </w:rPr>
        <w:t>”; and</w:t>
      </w:r>
    </w:p>
    <w:p w14:paraId="06C0A12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26F3BFE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0168E4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C5D045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PRESSURE VESSELS</w:t>
      </w:r>
      <w:r w:rsidRPr="00F82997">
        <w:rPr>
          <w:rFonts w:ascii="Times New Roman" w:hAnsi="Times New Roman"/>
          <w:sz w:val="22"/>
          <w:szCs w:val="22"/>
        </w:rPr>
        <w:t xml:space="preserve">”; </w:t>
      </w:r>
      <w:r w:rsidRPr="00F82997">
        <w:rPr>
          <w:rFonts w:ascii="Times New Roman" w:hAnsi="Times New Roman"/>
          <w:i/>
          <w:iCs/>
          <w:sz w:val="22"/>
          <w:szCs w:val="22"/>
        </w:rPr>
        <w:t>and</w:t>
      </w:r>
    </w:p>
    <w:p w14:paraId="077B2A1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1B0A4A3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4CEBB22"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PRESSURE VESSELS- REFRIGERANT</w:t>
      </w:r>
      <w:r w:rsidRPr="00F82997">
        <w:rPr>
          <w:rFonts w:ascii="Times New Roman" w:hAnsi="Times New Roman"/>
          <w:sz w:val="22"/>
          <w:szCs w:val="22"/>
        </w:rPr>
        <w:t xml:space="preserve">”; </w:t>
      </w:r>
      <w:r w:rsidRPr="00F82997">
        <w:rPr>
          <w:rFonts w:ascii="Times New Roman" w:hAnsi="Times New Roman"/>
          <w:i/>
          <w:iCs/>
          <w:sz w:val="22"/>
          <w:szCs w:val="22"/>
        </w:rPr>
        <w:t>and</w:t>
      </w:r>
    </w:p>
    <w:p w14:paraId="39EDF14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84EEAD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06933796"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(from definition of “</w:t>
      </w:r>
      <w:r w:rsidRPr="00F82997">
        <w:rPr>
          <w:rFonts w:ascii="Times New Roman" w:hAnsi="Times New Roman"/>
          <w:sz w:val="24"/>
          <w:szCs w:val="24"/>
        </w:rPr>
        <w:t>[FG] ROOM HEATER, VENTED</w:t>
      </w:r>
      <w:r w:rsidRPr="00F82997">
        <w:rPr>
          <w:rFonts w:ascii="Times New Roman" w:hAnsi="Times New Roman"/>
          <w:sz w:val="22"/>
          <w:szCs w:val="22"/>
        </w:rPr>
        <w:t xml:space="preserve">”) “or liquid fuel”; </w:t>
      </w:r>
      <w:r w:rsidRPr="00F82997">
        <w:rPr>
          <w:rFonts w:ascii="Times New Roman" w:hAnsi="Times New Roman"/>
          <w:i/>
          <w:iCs/>
          <w:sz w:val="22"/>
          <w:szCs w:val="22"/>
        </w:rPr>
        <w:t>and</w:t>
      </w:r>
    </w:p>
    <w:p w14:paraId="58C8191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definition)“</w:t>
      </w:r>
      <w:r w:rsidRPr="00F82997">
        <w:rPr>
          <w:rFonts w:ascii="Times New Roman" w:hAnsi="Times New Roman"/>
          <w:sz w:val="24"/>
          <w:szCs w:val="24"/>
        </w:rPr>
        <w:t>For liquid fuel, see codes and standards adopted by PFR Board.”</w:t>
      </w:r>
    </w:p>
    <w:p w14:paraId="0F771F30" w14:textId="77777777" w:rsidR="00F82997" w:rsidRPr="00F82997" w:rsidRDefault="00F82997" w:rsidP="00F82997">
      <w:pPr>
        <w:overflowPunct/>
        <w:autoSpaceDE/>
        <w:autoSpaceDN/>
        <w:adjustRightInd/>
        <w:textAlignment w:val="auto"/>
        <w:rPr>
          <w:rFonts w:ascii="Times New Roman" w:hAnsi="Times New Roman"/>
          <w:sz w:val="24"/>
          <w:szCs w:val="24"/>
        </w:rPr>
      </w:pPr>
    </w:p>
    <w:p w14:paraId="67F41EC5"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STEAM-HEATING BOILER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1B4D5D7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2072EF2"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68A09A6E"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TOILET ROOM</w:t>
      </w:r>
      <w:r w:rsidRPr="00F82997">
        <w:rPr>
          <w:rFonts w:ascii="Times New Roman" w:hAnsi="Times New Roman"/>
          <w:sz w:val="22"/>
          <w:szCs w:val="22"/>
        </w:rPr>
        <w:t xml:space="preserve">”; </w:t>
      </w:r>
      <w:r w:rsidRPr="00F82997">
        <w:rPr>
          <w:rFonts w:ascii="Times New Roman" w:hAnsi="Times New Roman"/>
          <w:i/>
          <w:iCs/>
          <w:sz w:val="22"/>
          <w:szCs w:val="22"/>
        </w:rPr>
        <w:t>and</w:t>
      </w:r>
    </w:p>
    <w:p w14:paraId="745167B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7204F50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339F3A0"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“TOILET ROOM. </w:t>
      </w:r>
      <w:r w:rsidRPr="00F82997">
        <w:rPr>
          <w:rFonts w:ascii="Times New Roman" w:hAnsi="Times New Roman"/>
          <w:sz w:val="24"/>
          <w:szCs w:val="24"/>
        </w:rPr>
        <w:t>Type L vent</w:t>
      </w:r>
      <w:r w:rsidRPr="00F82997">
        <w:rPr>
          <w:rFonts w:ascii="Times New Roman" w:hAnsi="Times New Roman"/>
          <w:sz w:val="22"/>
          <w:szCs w:val="22"/>
        </w:rPr>
        <w:t xml:space="preserve">”; </w:t>
      </w:r>
      <w:r w:rsidRPr="00F82997">
        <w:rPr>
          <w:rFonts w:ascii="Times New Roman" w:hAnsi="Times New Roman"/>
          <w:i/>
          <w:iCs/>
          <w:sz w:val="22"/>
          <w:szCs w:val="22"/>
        </w:rPr>
        <w:t>and</w:t>
      </w:r>
    </w:p>
    <w:p w14:paraId="21441D5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4D274343"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764C504E"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VENT CONNECTOR</w:t>
      </w:r>
      <w:r w:rsidRPr="00F82997">
        <w:rPr>
          <w:rFonts w:ascii="Times New Roman" w:hAnsi="Times New Roman"/>
          <w:sz w:val="22"/>
          <w:szCs w:val="22"/>
        </w:rPr>
        <w:t xml:space="preserve">”; </w:t>
      </w:r>
      <w:r w:rsidRPr="00F82997">
        <w:rPr>
          <w:rFonts w:ascii="Times New Roman" w:hAnsi="Times New Roman"/>
          <w:i/>
          <w:iCs/>
          <w:sz w:val="22"/>
          <w:szCs w:val="22"/>
        </w:rPr>
        <w:t>and</w:t>
      </w:r>
    </w:p>
    <w:p w14:paraId="68B1C0E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6429F2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44E0ACAE" w14:textId="77777777" w:rsidR="00F82997" w:rsidRPr="00F82997" w:rsidRDefault="00F82997" w:rsidP="00F82997">
      <w:pPr>
        <w:overflowPunct/>
        <w:autoSpaceDE/>
        <w:autoSpaceDN/>
        <w:adjustRightInd/>
        <w:ind w:left="720" w:firstLine="720"/>
        <w:textAlignment w:val="auto"/>
        <w:rPr>
          <w:rFonts w:ascii="Times New Roman" w:hAnsi="Times New Roman"/>
          <w:sz w:val="24"/>
          <w:szCs w:val="24"/>
        </w:rPr>
      </w:pPr>
      <w:r w:rsidRPr="00F82997">
        <w:rPr>
          <w:rFonts w:ascii="Times New Roman" w:hAnsi="Times New Roman"/>
          <w:b/>
          <w:bCs/>
          <w:i/>
          <w:iCs/>
          <w:sz w:val="22"/>
          <w:szCs w:val="22"/>
        </w:rPr>
        <w:t>Delete</w:t>
      </w:r>
      <w:r w:rsidRPr="00F82997">
        <w:rPr>
          <w:rFonts w:ascii="Times New Roman" w:hAnsi="Times New Roman"/>
          <w:sz w:val="22"/>
          <w:szCs w:val="22"/>
        </w:rPr>
        <w:t xml:space="preserve"> definition for “</w:t>
      </w:r>
      <w:r w:rsidRPr="00F82997">
        <w:rPr>
          <w:rFonts w:ascii="Times New Roman" w:hAnsi="Times New Roman"/>
          <w:sz w:val="24"/>
          <w:szCs w:val="24"/>
        </w:rPr>
        <w:t>WATER HEATER</w:t>
      </w:r>
      <w:r w:rsidRPr="00F82997">
        <w:rPr>
          <w:rFonts w:ascii="Times New Roman" w:hAnsi="Times New Roman"/>
          <w:sz w:val="22"/>
          <w:szCs w:val="22"/>
        </w:rPr>
        <w:t xml:space="preserve">”; </w:t>
      </w:r>
      <w:r w:rsidRPr="00F82997">
        <w:rPr>
          <w:rFonts w:ascii="Times New Roman" w:hAnsi="Times New Roman"/>
          <w:i/>
          <w:iCs/>
          <w:sz w:val="22"/>
          <w:szCs w:val="22"/>
        </w:rPr>
        <w:t>and</w:t>
      </w:r>
    </w:p>
    <w:p w14:paraId="7A4D5F4E"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r w:rsidRPr="00F82997">
        <w:rPr>
          <w:rFonts w:ascii="Times New Roman" w:hAnsi="Times New Roman"/>
          <w:b/>
          <w:bCs/>
          <w:i/>
          <w:iCs/>
          <w:sz w:val="22"/>
          <w:szCs w:val="22"/>
        </w:rPr>
        <w:t>Insert</w:t>
      </w:r>
      <w:r w:rsidRPr="00F82997">
        <w:rPr>
          <w:rFonts w:ascii="Times New Roman" w:hAnsi="Times New Roman"/>
          <w:sz w:val="22"/>
          <w:szCs w:val="22"/>
        </w:rPr>
        <w:t xml:space="preserve"> “</w:t>
      </w:r>
      <w:r w:rsidRPr="00F82997">
        <w:rPr>
          <w:rFonts w:ascii="Times New Roman" w:hAnsi="Times New Roman"/>
          <w:sz w:val="24"/>
          <w:szCs w:val="24"/>
        </w:rPr>
        <w:t>See definition in codes and standards adopted by PFR Board.” in its place.</w:t>
      </w:r>
    </w:p>
    <w:p w14:paraId="054E3A3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4"/>
          <w:szCs w:val="24"/>
        </w:rPr>
      </w:pPr>
    </w:p>
    <w:p w14:paraId="251BDB4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19.</w:t>
      </w:r>
      <w:r w:rsidRPr="00F82997">
        <w:rPr>
          <w:rFonts w:ascii="Times New Roman" w:hAnsi="Times New Roman"/>
          <w:sz w:val="22"/>
          <w:szCs w:val="22"/>
        </w:rPr>
        <w:tab/>
        <w:t>Section 301.4</w:t>
      </w:r>
    </w:p>
    <w:p w14:paraId="38B8B67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13DEF5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(at the end of the sentence) “and as applicable under Maine State Plumbing Code.”</w:t>
      </w:r>
    </w:p>
    <w:p w14:paraId="6013C83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1F4466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20.</w:t>
      </w:r>
      <w:r w:rsidRPr="00F82997">
        <w:rPr>
          <w:rFonts w:ascii="Times New Roman" w:hAnsi="Times New Roman"/>
          <w:sz w:val="22"/>
          <w:szCs w:val="22"/>
        </w:rPr>
        <w:tab/>
        <w:t>Section 301.7</w:t>
      </w:r>
    </w:p>
    <w:p w14:paraId="433EFE7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2B51C0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 xml:space="preserve">Insert </w:t>
      </w:r>
      <w:r w:rsidRPr="00F82997">
        <w:rPr>
          <w:rFonts w:ascii="Times New Roman" w:hAnsi="Times New Roman"/>
          <w:sz w:val="22"/>
          <w:szCs w:val="22"/>
        </w:rPr>
        <w:t>(after “Section 105” text) “and applicable codes and standards adopted by PFR boards.”</w:t>
      </w:r>
    </w:p>
    <w:p w14:paraId="590141F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p>
    <w:p w14:paraId="204C592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21.</w:t>
      </w:r>
      <w:r w:rsidRPr="00F82997">
        <w:rPr>
          <w:rFonts w:ascii="Times New Roman" w:hAnsi="Times New Roman"/>
          <w:sz w:val="22"/>
          <w:szCs w:val="22"/>
        </w:rPr>
        <w:tab/>
        <w:t>Section 301.8</w:t>
      </w:r>
    </w:p>
    <w:p w14:paraId="2C04FE6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6A0184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“Labeling.”; </w:t>
      </w:r>
      <w:r w:rsidRPr="00F82997">
        <w:rPr>
          <w:rFonts w:ascii="Times New Roman" w:hAnsi="Times New Roman"/>
          <w:i/>
          <w:iCs/>
          <w:sz w:val="22"/>
          <w:szCs w:val="22"/>
        </w:rPr>
        <w:t>and</w:t>
      </w:r>
    </w:p>
    <w:p w14:paraId="56CFF60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031DE75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D4015E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22.</w:t>
      </w:r>
      <w:r w:rsidRPr="00F82997">
        <w:rPr>
          <w:rFonts w:ascii="Times New Roman" w:hAnsi="Times New Roman"/>
          <w:sz w:val="22"/>
          <w:szCs w:val="22"/>
        </w:rPr>
        <w:tab/>
        <w:t>Section 301.9</w:t>
      </w:r>
    </w:p>
    <w:p w14:paraId="0E94DB9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FBA1CA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“Labeling Information.”; </w:t>
      </w:r>
      <w:r w:rsidRPr="00F82997">
        <w:rPr>
          <w:rFonts w:ascii="Times New Roman" w:hAnsi="Times New Roman"/>
          <w:i/>
          <w:iCs/>
          <w:sz w:val="22"/>
          <w:szCs w:val="22"/>
        </w:rPr>
        <w:t>and</w:t>
      </w:r>
    </w:p>
    <w:p w14:paraId="21EB28B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55859E5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219443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23.</w:t>
      </w:r>
      <w:r w:rsidRPr="00F82997">
        <w:rPr>
          <w:rFonts w:ascii="Times New Roman" w:hAnsi="Times New Roman"/>
          <w:sz w:val="22"/>
          <w:szCs w:val="22"/>
        </w:rPr>
        <w:tab/>
        <w:t>Section 301.12</w:t>
      </w:r>
    </w:p>
    <w:p w14:paraId="1E5B5B3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1C7D16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last sentence) “to be in accordance with codes and standards adopted by PFR boards.”</w:t>
      </w:r>
    </w:p>
    <w:p w14:paraId="59BA687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F47631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24.</w:t>
      </w:r>
      <w:r w:rsidRPr="00F82997">
        <w:rPr>
          <w:rFonts w:ascii="Times New Roman" w:hAnsi="Times New Roman"/>
          <w:sz w:val="22"/>
          <w:szCs w:val="22"/>
        </w:rPr>
        <w:tab/>
        <w:t>Section 303.3</w:t>
      </w:r>
    </w:p>
    <w:p w14:paraId="50B167D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0E9479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Delete </w:t>
      </w:r>
      <w:r w:rsidRPr="00F82997">
        <w:rPr>
          <w:rFonts w:ascii="Times New Roman" w:hAnsi="Times New Roman"/>
          <w:sz w:val="22"/>
          <w:szCs w:val="22"/>
        </w:rPr>
        <w:t xml:space="preserve">all language after “Prohibited Locations.”; </w:t>
      </w:r>
      <w:r w:rsidRPr="00F82997">
        <w:rPr>
          <w:rFonts w:ascii="Times New Roman" w:hAnsi="Times New Roman"/>
          <w:i/>
          <w:iCs/>
          <w:sz w:val="22"/>
          <w:szCs w:val="22"/>
        </w:rPr>
        <w:t>and</w:t>
      </w:r>
    </w:p>
    <w:p w14:paraId="506C7DA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6D1DCEB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B90ABF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25.</w:t>
      </w:r>
      <w:r w:rsidRPr="00F82997">
        <w:rPr>
          <w:rFonts w:ascii="Times New Roman" w:hAnsi="Times New Roman"/>
          <w:sz w:val="22"/>
          <w:szCs w:val="22"/>
        </w:rPr>
        <w:tab/>
        <w:t>Section 303.4</w:t>
      </w:r>
    </w:p>
    <w:p w14:paraId="6821AF8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F5843A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“Protection from damage.”; </w:t>
      </w:r>
      <w:r w:rsidRPr="00F82997">
        <w:rPr>
          <w:rFonts w:ascii="Times New Roman" w:hAnsi="Times New Roman"/>
          <w:i/>
          <w:iCs/>
          <w:sz w:val="22"/>
          <w:szCs w:val="22"/>
        </w:rPr>
        <w:t>and</w:t>
      </w:r>
    </w:p>
    <w:p w14:paraId="28286DE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320D2A1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E14487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26.</w:t>
      </w:r>
      <w:r w:rsidRPr="00F82997">
        <w:rPr>
          <w:rFonts w:ascii="Times New Roman" w:hAnsi="Times New Roman"/>
          <w:sz w:val="22"/>
          <w:szCs w:val="22"/>
        </w:rPr>
        <w:tab/>
        <w:t>Section 303.5</w:t>
      </w:r>
    </w:p>
    <w:p w14:paraId="2B2BBE3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82E03E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“Indoor locations.”; </w:t>
      </w:r>
      <w:r w:rsidRPr="00F82997">
        <w:rPr>
          <w:rFonts w:ascii="Times New Roman" w:hAnsi="Times New Roman"/>
          <w:i/>
          <w:iCs/>
          <w:sz w:val="22"/>
          <w:szCs w:val="22"/>
        </w:rPr>
        <w:t>and</w:t>
      </w:r>
    </w:p>
    <w:p w14:paraId="285965C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08A346F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AE6FF6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27.</w:t>
      </w:r>
      <w:r w:rsidRPr="00F82997">
        <w:rPr>
          <w:rFonts w:ascii="Times New Roman" w:hAnsi="Times New Roman"/>
          <w:sz w:val="22"/>
          <w:szCs w:val="22"/>
        </w:rPr>
        <w:tab/>
        <w:t>Section 303.8</w:t>
      </w:r>
    </w:p>
    <w:p w14:paraId="0AE0BB5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A7F663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“Elevator shafts.”; </w:t>
      </w:r>
      <w:r w:rsidRPr="00F82997">
        <w:rPr>
          <w:rFonts w:ascii="Times New Roman" w:hAnsi="Times New Roman"/>
          <w:i/>
          <w:iCs/>
          <w:sz w:val="22"/>
          <w:szCs w:val="22"/>
        </w:rPr>
        <w:t>and</w:t>
      </w:r>
    </w:p>
    <w:p w14:paraId="34826BD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0A6FA84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897030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28.</w:t>
      </w:r>
      <w:r w:rsidRPr="00F82997">
        <w:rPr>
          <w:rFonts w:ascii="Times New Roman" w:hAnsi="Times New Roman"/>
          <w:sz w:val="22"/>
          <w:szCs w:val="22"/>
        </w:rPr>
        <w:tab/>
        <w:t>Section 304.2</w:t>
      </w:r>
    </w:p>
    <w:p w14:paraId="545C2AF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EE81BB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Delete </w:t>
      </w:r>
      <w:r w:rsidRPr="00F82997">
        <w:rPr>
          <w:rFonts w:ascii="Times New Roman" w:hAnsi="Times New Roman"/>
          <w:sz w:val="22"/>
          <w:szCs w:val="22"/>
        </w:rPr>
        <w:t xml:space="preserve">“this code”; </w:t>
      </w:r>
      <w:r w:rsidRPr="00F82997">
        <w:rPr>
          <w:rFonts w:ascii="Times New Roman" w:hAnsi="Times New Roman"/>
          <w:i/>
          <w:iCs/>
          <w:sz w:val="22"/>
          <w:szCs w:val="22"/>
        </w:rPr>
        <w:t>and</w:t>
      </w:r>
    </w:p>
    <w:p w14:paraId="597C363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“applicable codes and standards adopted by PFR boards” in its place.</w:t>
      </w:r>
    </w:p>
    <w:p w14:paraId="0D38A3D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0F22A0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29.</w:t>
      </w:r>
      <w:r w:rsidRPr="00F82997">
        <w:rPr>
          <w:rFonts w:ascii="Times New Roman" w:hAnsi="Times New Roman"/>
          <w:sz w:val="22"/>
          <w:szCs w:val="22"/>
        </w:rPr>
        <w:tab/>
        <w:t>Section 304.3 and 304.3.1</w:t>
      </w:r>
    </w:p>
    <w:p w14:paraId="754212F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2DFA80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after “Elevation of ignition source.”; </w:t>
      </w:r>
      <w:r w:rsidRPr="00F82997">
        <w:rPr>
          <w:rFonts w:ascii="Times New Roman" w:hAnsi="Times New Roman"/>
          <w:i/>
          <w:iCs/>
          <w:sz w:val="22"/>
          <w:szCs w:val="22"/>
        </w:rPr>
        <w:t>and</w:t>
      </w:r>
    </w:p>
    <w:p w14:paraId="593E549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473FC6E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4BD5BA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30.</w:t>
      </w:r>
      <w:r w:rsidRPr="00F82997">
        <w:rPr>
          <w:rFonts w:ascii="Times New Roman" w:hAnsi="Times New Roman"/>
          <w:sz w:val="22"/>
          <w:szCs w:val="22"/>
        </w:rPr>
        <w:tab/>
        <w:t>Section 304.4</w:t>
      </w:r>
    </w:p>
    <w:p w14:paraId="1F73406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79DA8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Delete </w:t>
      </w:r>
      <w:r w:rsidRPr="00F82997">
        <w:rPr>
          <w:rFonts w:ascii="Times New Roman" w:hAnsi="Times New Roman"/>
          <w:sz w:val="22"/>
          <w:szCs w:val="22"/>
        </w:rPr>
        <w:t xml:space="preserve">all language after “Prohibited equipment and appliance location”; </w:t>
      </w:r>
      <w:r w:rsidRPr="00F82997">
        <w:rPr>
          <w:rFonts w:ascii="Times New Roman" w:hAnsi="Times New Roman"/>
          <w:i/>
          <w:iCs/>
          <w:sz w:val="22"/>
          <w:szCs w:val="22"/>
        </w:rPr>
        <w:t>and</w:t>
      </w:r>
    </w:p>
    <w:p w14:paraId="14C1283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513172A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108E10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31.</w:t>
      </w:r>
      <w:r w:rsidRPr="00F82997">
        <w:rPr>
          <w:rFonts w:ascii="Times New Roman" w:hAnsi="Times New Roman"/>
          <w:sz w:val="22"/>
          <w:szCs w:val="22"/>
        </w:rPr>
        <w:tab/>
        <w:t>Section 305.4</w:t>
      </w:r>
    </w:p>
    <w:p w14:paraId="7CAE0B1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BEC055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all language, including the table, after “Interval of support.”; </w:t>
      </w:r>
      <w:r w:rsidRPr="00F82997">
        <w:rPr>
          <w:rFonts w:ascii="Times New Roman" w:hAnsi="Times New Roman"/>
          <w:i/>
          <w:iCs/>
          <w:sz w:val="22"/>
          <w:szCs w:val="22"/>
        </w:rPr>
        <w:t>and</w:t>
      </w:r>
    </w:p>
    <w:p w14:paraId="6896877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71D6DEE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B32307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32.</w:t>
      </w:r>
      <w:r w:rsidRPr="00F82997">
        <w:rPr>
          <w:rFonts w:ascii="Times New Roman" w:hAnsi="Times New Roman"/>
          <w:sz w:val="22"/>
          <w:szCs w:val="22"/>
        </w:rPr>
        <w:tab/>
        <w:t>Section 306</w:t>
      </w:r>
    </w:p>
    <w:p w14:paraId="2F7B0CE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EAA6CB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306.1 through 306.5 in their entirety.; </w:t>
      </w:r>
      <w:r w:rsidRPr="00F82997">
        <w:rPr>
          <w:rFonts w:ascii="Times New Roman" w:hAnsi="Times New Roman"/>
          <w:i/>
          <w:iCs/>
          <w:sz w:val="22"/>
          <w:szCs w:val="22"/>
        </w:rPr>
        <w:t>and</w:t>
      </w:r>
    </w:p>
    <w:p w14:paraId="0B1A1CF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03D64A8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EF6279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33.</w:t>
      </w:r>
      <w:r w:rsidRPr="00F82997">
        <w:rPr>
          <w:rFonts w:ascii="Times New Roman" w:hAnsi="Times New Roman"/>
          <w:sz w:val="22"/>
          <w:szCs w:val="22"/>
        </w:rPr>
        <w:tab/>
        <w:t>Section 307</w:t>
      </w:r>
    </w:p>
    <w:p w14:paraId="545979B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79F1B4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b/>
          <w:bCs/>
          <w:i/>
          <w:iCs/>
          <w:sz w:val="22"/>
          <w:szCs w:val="22"/>
        </w:rPr>
        <w:lastRenderedPageBreak/>
        <w:tab/>
      </w:r>
      <w:r w:rsidRPr="00F82997">
        <w:rPr>
          <w:rFonts w:ascii="Times New Roman" w:hAnsi="Times New Roman"/>
          <w:b/>
          <w:bCs/>
          <w:i/>
          <w:iCs/>
          <w:sz w:val="22"/>
          <w:szCs w:val="22"/>
        </w:rPr>
        <w:tab/>
        <w:t>Delete</w:t>
      </w:r>
      <w:r w:rsidRPr="00F82997">
        <w:rPr>
          <w:rFonts w:ascii="Times New Roman" w:hAnsi="Times New Roman"/>
          <w:sz w:val="22"/>
          <w:szCs w:val="22"/>
        </w:rPr>
        <w:t xml:space="preserve"> Section 307.1 through 307.3 in their entirety; </w:t>
      </w:r>
      <w:r w:rsidRPr="00F82997">
        <w:rPr>
          <w:rFonts w:ascii="Times New Roman" w:hAnsi="Times New Roman"/>
          <w:i/>
          <w:iCs/>
          <w:sz w:val="22"/>
          <w:szCs w:val="22"/>
        </w:rPr>
        <w:t>and</w:t>
      </w:r>
    </w:p>
    <w:p w14:paraId="7DE541C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b/>
          <w:bCs/>
          <w:i/>
          <w:iCs/>
          <w:sz w:val="22"/>
          <w:szCs w:val="22"/>
        </w:rPr>
        <w:tab/>
      </w:r>
      <w:r w:rsidRPr="00F82997">
        <w:rPr>
          <w:rFonts w:ascii="Times New Roman" w:hAnsi="Times New Roman"/>
          <w:b/>
          <w:bCs/>
          <w:i/>
          <w:iCs/>
          <w:sz w:val="22"/>
          <w:szCs w:val="22"/>
        </w:rPr>
        <w:tab/>
        <w:t xml:space="preserve">Insert </w:t>
      </w:r>
      <w:r w:rsidRPr="00F82997">
        <w:rPr>
          <w:rFonts w:ascii="Times New Roman" w:hAnsi="Times New Roman"/>
          <w:sz w:val="22"/>
          <w:szCs w:val="22"/>
        </w:rPr>
        <w:t>“See applicable codes and standards adopted by PFR boards.” in its place.</w:t>
      </w:r>
    </w:p>
    <w:p w14:paraId="5F1AA10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BA15D7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34.</w:t>
      </w:r>
      <w:r w:rsidRPr="00F82997">
        <w:rPr>
          <w:rFonts w:ascii="Times New Roman" w:hAnsi="Times New Roman"/>
          <w:sz w:val="22"/>
          <w:szCs w:val="22"/>
        </w:rPr>
        <w:tab/>
        <w:t>Section 308</w:t>
      </w:r>
    </w:p>
    <w:p w14:paraId="188C889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260A5D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308.1 through 308.4 in their entirety; </w:t>
      </w:r>
      <w:r w:rsidRPr="00F82997">
        <w:rPr>
          <w:rFonts w:ascii="Times New Roman" w:hAnsi="Times New Roman"/>
          <w:i/>
          <w:iCs/>
          <w:sz w:val="22"/>
          <w:szCs w:val="22"/>
        </w:rPr>
        <w:t>and</w:t>
      </w:r>
    </w:p>
    <w:p w14:paraId="30C7815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b/>
          <w:bCs/>
          <w:i/>
          <w:iCs/>
          <w:sz w:val="22"/>
          <w:szCs w:val="22"/>
        </w:rPr>
        <w:tab/>
      </w:r>
      <w:r w:rsidRPr="00F82997">
        <w:rPr>
          <w:rFonts w:ascii="Times New Roman" w:hAnsi="Times New Roman"/>
          <w:b/>
          <w:bCs/>
          <w:i/>
          <w:iCs/>
          <w:sz w:val="22"/>
          <w:szCs w:val="22"/>
        </w:rPr>
        <w:tab/>
        <w:t xml:space="preserve">Insert </w:t>
      </w:r>
      <w:r w:rsidRPr="00F82997">
        <w:rPr>
          <w:rFonts w:ascii="Times New Roman" w:hAnsi="Times New Roman"/>
          <w:sz w:val="22"/>
          <w:szCs w:val="22"/>
        </w:rPr>
        <w:t>“See applicable codes and standards adopted by PFR boards.” in its place.</w:t>
      </w:r>
    </w:p>
    <w:p w14:paraId="70BA156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DD4546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35.</w:t>
      </w:r>
      <w:r w:rsidRPr="00F82997">
        <w:rPr>
          <w:rFonts w:ascii="Times New Roman" w:hAnsi="Times New Roman"/>
          <w:sz w:val="22"/>
          <w:szCs w:val="22"/>
        </w:rPr>
        <w:tab/>
        <w:t>Section 309.1</w:t>
      </w:r>
    </w:p>
    <w:p w14:paraId="45B7E06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A2853C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309.1 in its entirety; </w:t>
      </w:r>
      <w:r w:rsidRPr="00F82997">
        <w:rPr>
          <w:rFonts w:ascii="Times New Roman" w:hAnsi="Times New Roman"/>
          <w:i/>
          <w:iCs/>
          <w:sz w:val="22"/>
          <w:szCs w:val="22"/>
        </w:rPr>
        <w:t>and</w:t>
      </w:r>
    </w:p>
    <w:p w14:paraId="38224E3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b/>
          <w:bCs/>
          <w:i/>
          <w:iCs/>
          <w:sz w:val="22"/>
          <w:szCs w:val="22"/>
        </w:rPr>
        <w:tab/>
      </w:r>
      <w:r w:rsidRPr="00F82997">
        <w:rPr>
          <w:rFonts w:ascii="Times New Roman" w:hAnsi="Times New Roman"/>
          <w:b/>
          <w:bCs/>
          <w:i/>
          <w:iCs/>
          <w:sz w:val="22"/>
          <w:szCs w:val="22"/>
        </w:rPr>
        <w:tab/>
        <w:t xml:space="preserve">Insert </w:t>
      </w:r>
      <w:r w:rsidRPr="00F82997">
        <w:rPr>
          <w:rFonts w:ascii="Times New Roman" w:hAnsi="Times New Roman"/>
          <w:sz w:val="22"/>
          <w:szCs w:val="22"/>
        </w:rPr>
        <w:t>“See applicable codes and standards adopted by PFR boards.” in its place.</w:t>
      </w:r>
    </w:p>
    <w:p w14:paraId="171F367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78A28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36.</w:t>
      </w:r>
      <w:r w:rsidRPr="00F82997">
        <w:rPr>
          <w:rFonts w:ascii="Times New Roman" w:hAnsi="Times New Roman"/>
          <w:sz w:val="22"/>
          <w:szCs w:val="22"/>
        </w:rPr>
        <w:tab/>
        <w:t>Section 312.1</w:t>
      </w:r>
    </w:p>
    <w:p w14:paraId="6600238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p>
    <w:p w14:paraId="2E60EADC"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(at the end of the paragraph)</w:t>
      </w:r>
      <w:r w:rsidRPr="00F82997">
        <w:rPr>
          <w:rFonts w:ascii="Times New Roman" w:hAnsi="Times New Roman"/>
          <w:b/>
          <w:bCs/>
          <w:i/>
          <w:iCs/>
          <w:sz w:val="22"/>
          <w:szCs w:val="22"/>
        </w:rPr>
        <w:t xml:space="preserve"> </w:t>
      </w:r>
      <w:r w:rsidRPr="00F82997">
        <w:rPr>
          <w:rFonts w:ascii="Times New Roman" w:hAnsi="Times New Roman"/>
          <w:sz w:val="22"/>
          <w:szCs w:val="22"/>
        </w:rPr>
        <w:t>“Refer to applicable codes and standards adopted by PFR boards.”</w:t>
      </w:r>
    </w:p>
    <w:p w14:paraId="571EBF7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1A3B48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37.</w:t>
      </w:r>
      <w:r w:rsidRPr="00F82997">
        <w:rPr>
          <w:rFonts w:ascii="Times New Roman" w:hAnsi="Times New Roman"/>
          <w:sz w:val="22"/>
          <w:szCs w:val="22"/>
        </w:rPr>
        <w:tab/>
        <w:t>Section 502.9.10</w:t>
      </w:r>
    </w:p>
    <w:p w14:paraId="1052AF9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F27CF7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Section 502.9.10 in its entirety; </w:t>
      </w:r>
      <w:r w:rsidRPr="00F82997">
        <w:rPr>
          <w:rFonts w:ascii="Times New Roman" w:hAnsi="Times New Roman"/>
          <w:i/>
          <w:iCs/>
          <w:sz w:val="22"/>
          <w:szCs w:val="22"/>
        </w:rPr>
        <w:t>and</w:t>
      </w:r>
    </w:p>
    <w:p w14:paraId="454EA8E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“See applicable codes and standards adopted by PFR boards.” in its place.</w:t>
      </w:r>
    </w:p>
    <w:p w14:paraId="75B260E2"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73BBC6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38.</w:t>
      </w:r>
      <w:r w:rsidRPr="00F82997">
        <w:rPr>
          <w:rFonts w:ascii="Times New Roman" w:hAnsi="Times New Roman"/>
          <w:sz w:val="22"/>
          <w:szCs w:val="22"/>
        </w:rPr>
        <w:tab/>
        <w:t>Section 502.16</w:t>
      </w:r>
    </w:p>
    <w:p w14:paraId="29B8AB6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C93F698" w14:textId="77777777" w:rsidR="00F82997" w:rsidRPr="00F82997" w:rsidRDefault="00F82997" w:rsidP="00F82997">
      <w:pPr>
        <w:tabs>
          <w:tab w:val="left" w:pos="720"/>
          <w:tab w:val="left" w:pos="1440"/>
          <w:tab w:val="left" w:pos="2160"/>
          <w:tab w:val="left" w:pos="2880"/>
          <w:tab w:val="left" w:pos="3600"/>
        </w:tabs>
        <w:overflowPunct/>
        <w:autoSpaceDE/>
        <w:autoSpaceDN/>
        <w:adjustRightInd/>
        <w:spacing w:line="259" w:lineRule="auto"/>
        <w:ind w:left="1440"/>
        <w:textAlignment w:val="auto"/>
        <w:rPr>
          <w:rFonts w:ascii="Times New Roman" w:hAnsi="Times New Roman"/>
          <w:sz w:val="22"/>
          <w:szCs w:val="22"/>
        </w:rPr>
      </w:pPr>
      <w:r w:rsidRPr="00F82997">
        <w:rPr>
          <w:rFonts w:ascii="Times New Roman" w:hAnsi="Times New Roman"/>
          <w:sz w:val="22"/>
          <w:szCs w:val="22"/>
        </w:rPr>
        <w:t xml:space="preserve">Insert (after the heading) “Section 502.16 and its subsections in the International Mechanical Code shall not apply to Compressed Natural Gas or Liquified Natural Gas, but only to Hydrogen and other lighter-than air motor fuels.  For Compressed and Liquified Natural Gas requirements, refer to the Maine Fuel Board Rules.” </w:t>
      </w:r>
    </w:p>
    <w:p w14:paraId="4367E1D6"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34FA69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39.</w:t>
      </w:r>
      <w:r w:rsidRPr="00F82997">
        <w:rPr>
          <w:rFonts w:ascii="Times New Roman" w:hAnsi="Times New Roman"/>
          <w:sz w:val="22"/>
          <w:szCs w:val="22"/>
        </w:rPr>
        <w:tab/>
        <w:t>Section 504</w:t>
      </w:r>
    </w:p>
    <w:p w14:paraId="21B5914B"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D93BFD1"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Insert</w:t>
      </w:r>
      <w:r w:rsidRPr="00F82997">
        <w:rPr>
          <w:rFonts w:ascii="Times New Roman" w:hAnsi="Times New Roman"/>
          <w:sz w:val="22"/>
          <w:szCs w:val="22"/>
        </w:rPr>
        <w:t xml:space="preserve"> (to create numbered exceptions, before the written exception) “1.”</w:t>
      </w:r>
    </w:p>
    <w:p w14:paraId="3832900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i/>
          <w:iCs/>
          <w:sz w:val="22"/>
          <w:szCs w:val="22"/>
        </w:rPr>
        <w:t xml:space="preserve">Insert </w:t>
      </w:r>
      <w:r w:rsidRPr="00F82997">
        <w:rPr>
          <w:rFonts w:ascii="Times New Roman" w:hAnsi="Times New Roman"/>
          <w:sz w:val="22"/>
          <w:szCs w:val="22"/>
        </w:rPr>
        <w:t>(as a second exception)</w:t>
      </w:r>
      <w:r w:rsidRPr="00F82997">
        <w:rPr>
          <w:rFonts w:ascii="Times New Roman" w:hAnsi="Times New Roman"/>
          <w:i/>
          <w:iCs/>
          <w:sz w:val="22"/>
          <w:szCs w:val="22"/>
        </w:rPr>
        <w:t>“</w:t>
      </w:r>
      <w:r w:rsidRPr="00F82997">
        <w:rPr>
          <w:rFonts w:ascii="Times New Roman" w:hAnsi="Times New Roman"/>
          <w:sz w:val="22"/>
          <w:szCs w:val="22"/>
        </w:rPr>
        <w:t>2.</w:t>
      </w:r>
      <w:r w:rsidRPr="00F82997">
        <w:rPr>
          <w:rFonts w:ascii="Times New Roman" w:hAnsi="Times New Roman"/>
          <w:b/>
          <w:bCs/>
          <w:i/>
          <w:iCs/>
          <w:sz w:val="22"/>
          <w:szCs w:val="22"/>
        </w:rPr>
        <w:t xml:space="preserve"> </w:t>
      </w:r>
      <w:r w:rsidRPr="00F82997">
        <w:rPr>
          <w:rFonts w:ascii="Times New Roman" w:hAnsi="Times New Roman"/>
          <w:sz w:val="22"/>
          <w:szCs w:val="22"/>
        </w:rPr>
        <w:t>Section 504 does not apply to class I and class II gas dryers. For class I and class II gas dryers, see applicable codes and standards adopted by PFR boards.”</w:t>
      </w:r>
    </w:p>
    <w:p w14:paraId="06CCA4A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3D660E7"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40.</w:t>
      </w:r>
      <w:r w:rsidRPr="00F82997">
        <w:rPr>
          <w:rFonts w:ascii="Times New Roman" w:hAnsi="Times New Roman"/>
          <w:sz w:val="22"/>
          <w:szCs w:val="22"/>
        </w:rPr>
        <w:tab/>
        <w:t>Section 512</w:t>
      </w:r>
    </w:p>
    <w:p w14:paraId="025078E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43A060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i/>
          <w:iCs/>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sz w:val="22"/>
          <w:szCs w:val="22"/>
        </w:rPr>
        <w:t>Delete</w:t>
      </w:r>
      <w:r w:rsidRPr="00F82997">
        <w:rPr>
          <w:rFonts w:ascii="Times New Roman" w:hAnsi="Times New Roman"/>
          <w:sz w:val="22"/>
          <w:szCs w:val="22"/>
        </w:rPr>
        <w:t xml:space="preserve"> Section 512 in its entirety; </w:t>
      </w:r>
      <w:r w:rsidRPr="00F82997">
        <w:rPr>
          <w:rFonts w:ascii="Times New Roman" w:hAnsi="Times New Roman"/>
          <w:i/>
          <w:iCs/>
          <w:sz w:val="22"/>
          <w:szCs w:val="22"/>
        </w:rPr>
        <w:t>and</w:t>
      </w:r>
    </w:p>
    <w:p w14:paraId="210761B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sz w:val="22"/>
          <w:szCs w:val="22"/>
        </w:rPr>
        <w:t>Insert</w:t>
      </w:r>
      <w:r w:rsidRPr="00F82997">
        <w:rPr>
          <w:rFonts w:ascii="Times New Roman" w:hAnsi="Times New Roman"/>
          <w:sz w:val="22"/>
          <w:szCs w:val="22"/>
        </w:rPr>
        <w:t xml:space="preserve"> ASTM E 1465-08 in its place.</w:t>
      </w:r>
    </w:p>
    <w:p w14:paraId="333D7CE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8EDA3A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41.</w:t>
      </w:r>
      <w:r w:rsidRPr="00F82997">
        <w:rPr>
          <w:rFonts w:ascii="Times New Roman" w:hAnsi="Times New Roman"/>
          <w:sz w:val="22"/>
          <w:szCs w:val="22"/>
        </w:rPr>
        <w:tab/>
        <w:t>Chapter 7</w:t>
      </w:r>
    </w:p>
    <w:p w14:paraId="2FAD040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B816F9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i/>
          <w:iCs/>
          <w:sz w:val="22"/>
          <w:szCs w:val="22"/>
        </w:rPr>
        <w:t>Delete</w:t>
      </w:r>
      <w:r w:rsidRPr="00F82997">
        <w:rPr>
          <w:rFonts w:ascii="Times New Roman" w:hAnsi="Times New Roman"/>
          <w:sz w:val="22"/>
          <w:szCs w:val="22"/>
        </w:rPr>
        <w:t xml:space="preserve"> IMC Chapter 7 language in its entirety; </w:t>
      </w:r>
      <w:r w:rsidRPr="00F82997">
        <w:rPr>
          <w:rFonts w:ascii="Times New Roman" w:hAnsi="Times New Roman"/>
          <w:i/>
          <w:iCs/>
          <w:sz w:val="22"/>
          <w:szCs w:val="22"/>
        </w:rPr>
        <w:t>and</w:t>
      </w:r>
    </w:p>
    <w:p w14:paraId="4FA3D4C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i/>
          <w:sz w:val="22"/>
          <w:szCs w:val="22"/>
        </w:rPr>
        <w:t>Insert</w:t>
      </w:r>
      <w:r w:rsidRPr="00F82997">
        <w:rPr>
          <w:rFonts w:ascii="Times New Roman" w:hAnsi="Times New Roman"/>
          <w:sz w:val="22"/>
          <w:szCs w:val="22"/>
        </w:rPr>
        <w:t xml:space="preserve">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5B26514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808BDB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42.</w:t>
      </w:r>
      <w:r w:rsidRPr="00F82997">
        <w:rPr>
          <w:rFonts w:ascii="Times New Roman" w:hAnsi="Times New Roman"/>
          <w:sz w:val="22"/>
          <w:szCs w:val="22"/>
        </w:rPr>
        <w:tab/>
        <w:t>Chapter 8 – All Sections</w:t>
      </w:r>
    </w:p>
    <w:p w14:paraId="326447F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C2A9B9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sz w:val="22"/>
          <w:szCs w:val="22"/>
        </w:rPr>
        <w:t>Delete</w:t>
      </w:r>
      <w:r w:rsidRPr="00F82997">
        <w:rPr>
          <w:rFonts w:ascii="Times New Roman" w:hAnsi="Times New Roman"/>
          <w:sz w:val="22"/>
          <w:szCs w:val="22"/>
        </w:rPr>
        <w:t xml:space="preserve"> IMC Chapter 8, language in its entirety; </w:t>
      </w:r>
      <w:r w:rsidRPr="00F82997">
        <w:rPr>
          <w:rFonts w:ascii="Times New Roman" w:hAnsi="Times New Roman"/>
          <w:i/>
          <w:iCs/>
          <w:sz w:val="22"/>
          <w:szCs w:val="22"/>
        </w:rPr>
        <w:t>and</w:t>
      </w:r>
    </w:p>
    <w:p w14:paraId="199EB74F"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sz w:val="22"/>
          <w:szCs w:val="22"/>
        </w:rPr>
        <w:t>Insert</w:t>
      </w:r>
      <w:r w:rsidRPr="00F82997">
        <w:rPr>
          <w:rFonts w:ascii="Times New Roman" w:hAnsi="Times New Roman"/>
          <w:sz w:val="22"/>
          <w:szCs w:val="22"/>
        </w:rPr>
        <w:t xml:space="preserve"> “Refer to NFPA 211; Fire codes and standards adopted pursuant to Title 25 M.R.S §§ 2452 and 2465” in its place.</w:t>
      </w:r>
    </w:p>
    <w:p w14:paraId="78EB1CE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6EC19805"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43.</w:t>
      </w:r>
      <w:r w:rsidRPr="00F82997">
        <w:rPr>
          <w:rFonts w:ascii="Times New Roman" w:hAnsi="Times New Roman"/>
          <w:sz w:val="22"/>
          <w:szCs w:val="22"/>
        </w:rPr>
        <w:tab/>
        <w:t>Chapter 9 – Various Sections</w:t>
      </w:r>
    </w:p>
    <w:p w14:paraId="13F1F5A0"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4468ADB4"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i/>
          <w:iCs/>
          <w:sz w:val="22"/>
          <w:szCs w:val="22"/>
        </w:rPr>
        <w:t>Delete</w:t>
      </w:r>
      <w:r w:rsidRPr="00F82997">
        <w:rPr>
          <w:rFonts w:ascii="Times New Roman" w:hAnsi="Times New Roman"/>
          <w:sz w:val="22"/>
          <w:szCs w:val="22"/>
        </w:rPr>
        <w:t xml:space="preserve"> IMC Chapter 9 Sections 902, 903, 905, 906, 907, 909, 910, 911, 916, 917, 918, 919, 920, 921, and 922 in their entirety;</w:t>
      </w:r>
      <w:r w:rsidRPr="00F82997">
        <w:rPr>
          <w:rFonts w:ascii="Times New Roman" w:hAnsi="Times New Roman"/>
          <w:i/>
          <w:iCs/>
          <w:sz w:val="22"/>
          <w:szCs w:val="22"/>
        </w:rPr>
        <w:t xml:space="preserve"> and</w:t>
      </w:r>
    </w:p>
    <w:p w14:paraId="7EDC9D2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i/>
          <w:iCs/>
          <w:sz w:val="22"/>
          <w:szCs w:val="22"/>
        </w:rPr>
        <w:lastRenderedPageBreak/>
        <w:tab/>
      </w:r>
      <w:r w:rsidRPr="00F82997">
        <w:rPr>
          <w:rFonts w:ascii="Times New Roman" w:hAnsi="Times New Roman"/>
          <w:i/>
          <w:iCs/>
          <w:sz w:val="22"/>
          <w:szCs w:val="22"/>
        </w:rPr>
        <w:tab/>
      </w:r>
      <w:r w:rsidRPr="00F82997">
        <w:rPr>
          <w:rFonts w:ascii="Times New Roman" w:hAnsi="Times New Roman"/>
          <w:b/>
          <w:bCs/>
          <w:i/>
          <w:iCs/>
          <w:sz w:val="22"/>
          <w:szCs w:val="22"/>
        </w:rPr>
        <w:t>Insert</w:t>
      </w:r>
      <w:r w:rsidRPr="00F82997">
        <w:rPr>
          <w:rFonts w:ascii="Times New Roman" w:hAnsi="Times New Roman"/>
          <w:sz w:val="22"/>
          <w:szCs w:val="22"/>
        </w:rPr>
        <w:t xml:space="preserve"> ”See applicable codes and standards adopted by PFR boards.” in its place.</w:t>
      </w:r>
    </w:p>
    <w:p w14:paraId="70865F1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trike/>
          <w:sz w:val="22"/>
          <w:szCs w:val="22"/>
        </w:rPr>
      </w:pPr>
    </w:p>
    <w:p w14:paraId="6DFB323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44.</w:t>
      </w:r>
      <w:r w:rsidRPr="00F82997">
        <w:rPr>
          <w:rFonts w:ascii="Times New Roman" w:hAnsi="Times New Roman"/>
          <w:sz w:val="22"/>
          <w:szCs w:val="22"/>
        </w:rPr>
        <w:tab/>
        <w:t>Chapter 10 – All Sections</w:t>
      </w:r>
    </w:p>
    <w:p w14:paraId="58C397F1"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2A8D888"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i/>
          <w:iCs/>
          <w:sz w:val="22"/>
          <w:szCs w:val="22"/>
        </w:rPr>
        <w:t>Delete</w:t>
      </w:r>
      <w:r w:rsidRPr="00F82997">
        <w:rPr>
          <w:rFonts w:ascii="Times New Roman" w:hAnsi="Times New Roman"/>
          <w:sz w:val="22"/>
          <w:szCs w:val="22"/>
        </w:rPr>
        <w:t xml:space="preserve"> IMC Chapter 10, all sections, language in their entirety; </w:t>
      </w:r>
      <w:r w:rsidRPr="00F82997">
        <w:rPr>
          <w:rFonts w:ascii="Times New Roman" w:hAnsi="Times New Roman"/>
          <w:i/>
          <w:iCs/>
          <w:sz w:val="22"/>
          <w:szCs w:val="22"/>
        </w:rPr>
        <w:t>and</w:t>
      </w:r>
    </w:p>
    <w:p w14:paraId="0287CD66"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i/>
          <w:sz w:val="22"/>
          <w:szCs w:val="22"/>
        </w:rPr>
        <w:t>Insert</w:t>
      </w:r>
      <w:r w:rsidRPr="00F82997">
        <w:rPr>
          <w:rFonts w:ascii="Times New Roman" w:hAnsi="Times New Roman"/>
          <w:sz w:val="22"/>
          <w:szCs w:val="22"/>
        </w:rPr>
        <w:t xml:space="preserve">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2EDF7C6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EB5282F"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45.</w:t>
      </w:r>
      <w:r w:rsidRPr="00F82997">
        <w:rPr>
          <w:rFonts w:ascii="Times New Roman" w:hAnsi="Times New Roman"/>
          <w:sz w:val="22"/>
          <w:szCs w:val="22"/>
        </w:rPr>
        <w:tab/>
        <w:t>Chapter 13 – All Sections</w:t>
      </w:r>
    </w:p>
    <w:p w14:paraId="16D3619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6541235"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i/>
          <w:iCs/>
          <w:sz w:val="22"/>
          <w:szCs w:val="22"/>
        </w:rPr>
      </w:pPr>
      <w:r w:rsidRPr="00F82997">
        <w:rPr>
          <w:rFonts w:ascii="Times New Roman" w:hAnsi="Times New Roman"/>
          <w:b/>
          <w:bCs/>
          <w:i/>
          <w:iCs/>
          <w:sz w:val="22"/>
          <w:szCs w:val="22"/>
        </w:rPr>
        <w:t>Delete</w:t>
      </w:r>
      <w:r w:rsidRPr="00F82997">
        <w:rPr>
          <w:rFonts w:ascii="Times New Roman" w:hAnsi="Times New Roman"/>
          <w:sz w:val="22"/>
          <w:szCs w:val="22"/>
        </w:rPr>
        <w:t xml:space="preserve"> IMC Chapter 13, all sections, language in their entirety; </w:t>
      </w:r>
      <w:r w:rsidRPr="00F82997">
        <w:rPr>
          <w:rFonts w:ascii="Times New Roman" w:hAnsi="Times New Roman"/>
          <w:i/>
          <w:iCs/>
          <w:sz w:val="22"/>
          <w:szCs w:val="22"/>
        </w:rPr>
        <w:t>and</w:t>
      </w:r>
    </w:p>
    <w:p w14:paraId="224B5D1D"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i/>
          <w:sz w:val="22"/>
          <w:szCs w:val="22"/>
        </w:rPr>
        <w:t>Insert</w:t>
      </w:r>
      <w:r w:rsidRPr="00F82997">
        <w:rPr>
          <w:rFonts w:ascii="Times New Roman" w:hAnsi="Times New Roman"/>
          <w:sz w:val="22"/>
          <w:szCs w:val="22"/>
        </w:rPr>
        <w:t xml:space="preserve">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403FDD8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D235704"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46.</w:t>
      </w:r>
      <w:r w:rsidRPr="00F82997">
        <w:rPr>
          <w:rFonts w:ascii="Times New Roman" w:hAnsi="Times New Roman"/>
          <w:sz w:val="22"/>
          <w:szCs w:val="22"/>
        </w:rPr>
        <w:tab/>
        <w:t>Section 1401.1</w:t>
      </w:r>
    </w:p>
    <w:p w14:paraId="7FCE2AC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4B73D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r w:rsidRPr="00F82997">
        <w:rPr>
          <w:rFonts w:ascii="Times New Roman" w:hAnsi="Times New Roman"/>
          <w:b/>
          <w:bCs/>
          <w:sz w:val="22"/>
          <w:szCs w:val="22"/>
        </w:rPr>
        <w:t>Insert</w:t>
      </w:r>
      <w:r w:rsidRPr="00F82997">
        <w:rPr>
          <w:rFonts w:ascii="Times New Roman" w:hAnsi="Times New Roman"/>
          <w:sz w:val="22"/>
          <w:szCs w:val="22"/>
        </w:rPr>
        <w:t xml:space="preserve"> (after “process heating”) “and NFPA 1; Fire codes and standards adopted pursuant to Title 25 M.R.S §§ 2452 and 2465; and the Maine Fuel Board Rules</w:t>
      </w:r>
      <w:r w:rsidRPr="00F82997">
        <w:rPr>
          <w:rFonts w:ascii="Times New Roman" w:hAnsi="Times New Roman"/>
          <w:bCs/>
          <w:sz w:val="22"/>
          <w:szCs w:val="22"/>
        </w:rPr>
        <w:t xml:space="preserve"> and codes and standards adopted pursuant to Title 32 Chapter 139</w:t>
      </w:r>
      <w:r w:rsidRPr="00F82997">
        <w:rPr>
          <w:rFonts w:ascii="Times New Roman" w:hAnsi="Times New Roman"/>
          <w:sz w:val="22"/>
          <w:szCs w:val="22"/>
        </w:rPr>
        <w:t>” in its place.</w:t>
      </w:r>
    </w:p>
    <w:p w14:paraId="20A83329"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left="1440"/>
        <w:textAlignment w:val="auto"/>
        <w:rPr>
          <w:rFonts w:ascii="Times New Roman" w:hAnsi="Times New Roman"/>
          <w:sz w:val="22"/>
          <w:szCs w:val="22"/>
        </w:rPr>
      </w:pPr>
    </w:p>
    <w:p w14:paraId="6FBF71E0"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47.</w:t>
      </w:r>
      <w:r w:rsidRPr="00F82997">
        <w:rPr>
          <w:rFonts w:ascii="Times New Roman" w:hAnsi="Times New Roman"/>
          <w:sz w:val="22"/>
          <w:szCs w:val="22"/>
        </w:rPr>
        <w:tab/>
        <w:t>Chapter 15</w:t>
      </w:r>
    </w:p>
    <w:p w14:paraId="1E80913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550BC88"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Delete</w:t>
      </w:r>
      <w:r w:rsidRPr="00F82997">
        <w:rPr>
          <w:rFonts w:ascii="Times New Roman" w:hAnsi="Times New Roman"/>
          <w:sz w:val="22"/>
          <w:szCs w:val="22"/>
        </w:rPr>
        <w:t xml:space="preserve"> (“ASHRAE 15” edition year reference) “2019”; </w:t>
      </w:r>
      <w:r w:rsidRPr="00F82997">
        <w:rPr>
          <w:rFonts w:ascii="Times New Roman" w:hAnsi="Times New Roman"/>
          <w:i/>
          <w:iCs/>
          <w:sz w:val="22"/>
          <w:szCs w:val="22"/>
        </w:rPr>
        <w:t>and</w:t>
      </w:r>
    </w:p>
    <w:p w14:paraId="455D9269"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r w:rsidRPr="00F82997">
        <w:rPr>
          <w:rFonts w:ascii="Times New Roman" w:hAnsi="Times New Roman"/>
          <w:b/>
          <w:bCs/>
          <w:i/>
          <w:iCs/>
          <w:sz w:val="22"/>
          <w:szCs w:val="22"/>
        </w:rPr>
        <w:t xml:space="preserve">Insert </w:t>
      </w:r>
      <w:r w:rsidRPr="00F82997">
        <w:rPr>
          <w:rFonts w:ascii="Times New Roman" w:hAnsi="Times New Roman"/>
          <w:sz w:val="22"/>
          <w:szCs w:val="22"/>
        </w:rPr>
        <w:t>“2022” as the edition year, in its place.</w:t>
      </w:r>
    </w:p>
    <w:p w14:paraId="31C69A4A"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r>
      <w:r w:rsidRPr="00F82997">
        <w:rPr>
          <w:rFonts w:ascii="Times New Roman" w:hAnsi="Times New Roman"/>
          <w:sz w:val="22"/>
          <w:szCs w:val="22"/>
        </w:rPr>
        <w:tab/>
      </w:r>
    </w:p>
    <w:p w14:paraId="2B19E20D" w14:textId="77777777" w:rsidR="00F82997" w:rsidRPr="00F82997" w:rsidRDefault="00F82997" w:rsidP="00F82997">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B01C60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E176C1D"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39B5F63"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 xml:space="preserve">STATUTORY AUTHORITY: </w:t>
      </w:r>
    </w:p>
    <w:p w14:paraId="0AA7446A" w14:textId="77777777" w:rsidR="00F82997" w:rsidRPr="00F82997" w:rsidRDefault="00F82997" w:rsidP="00F82997">
      <w:pPr>
        <w:tabs>
          <w:tab w:val="left" w:pos="720"/>
          <w:tab w:val="left" w:pos="1440"/>
          <w:tab w:val="left" w:pos="2160"/>
          <w:tab w:val="left" w:pos="2880"/>
          <w:tab w:val="left" w:pos="3600"/>
        </w:tabs>
        <w:overflowPunct/>
        <w:autoSpaceDE/>
        <w:autoSpaceDN/>
        <w:adjustRightInd/>
        <w:ind w:firstLine="720"/>
        <w:textAlignment w:val="auto"/>
        <w:rPr>
          <w:rFonts w:ascii="Times New Roman" w:hAnsi="Times New Roman"/>
          <w:sz w:val="22"/>
          <w:szCs w:val="22"/>
        </w:rPr>
      </w:pPr>
      <w:r w:rsidRPr="00F82997">
        <w:rPr>
          <w:rFonts w:ascii="Times New Roman" w:hAnsi="Times New Roman"/>
          <w:sz w:val="22"/>
          <w:szCs w:val="22"/>
        </w:rPr>
        <w:t>Title 10 M.R.S. §9722</w:t>
      </w:r>
    </w:p>
    <w:p w14:paraId="4DF85C1E"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BF2BAEC" w14:textId="77777777" w:rsidR="00F82997" w:rsidRP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EFFECTIVE DATE:</w:t>
      </w:r>
    </w:p>
    <w:p w14:paraId="39F9C946" w14:textId="77777777" w:rsid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F82997">
        <w:rPr>
          <w:rFonts w:ascii="Times New Roman" w:hAnsi="Times New Roman"/>
          <w:sz w:val="22"/>
          <w:szCs w:val="22"/>
        </w:rPr>
        <w:tab/>
        <w:t>September 20, 2021 – filing 2021-181</w:t>
      </w:r>
    </w:p>
    <w:p w14:paraId="27C08928" w14:textId="4D1110C0" w:rsidR="00752FC2" w:rsidRPr="00F82997" w:rsidRDefault="00752FC2"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b/>
        <w:t>March 4, 2025 – filing 2025-048</w:t>
      </w:r>
    </w:p>
    <w:p w14:paraId="3EAB5E98" w14:textId="77777777" w:rsidR="00F82997" w:rsidRDefault="00F82997"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F42380C" w14:textId="7D5E53A1" w:rsidR="00782C64" w:rsidRDefault="00782C64"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APAO ACCESSIBILITY CHECK: July 31, 2025</w:t>
      </w:r>
    </w:p>
    <w:p w14:paraId="4262E319" w14:textId="77777777" w:rsidR="00782C64" w:rsidRPr="00F82997" w:rsidRDefault="00782C64" w:rsidP="00F82997">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E3D2011" w14:textId="5E7471E0" w:rsidR="0075573E" w:rsidRPr="00782C64" w:rsidRDefault="0075573E" w:rsidP="0075573E">
      <w:pPr>
        <w:tabs>
          <w:tab w:val="left" w:pos="720"/>
          <w:tab w:val="left" w:pos="1440"/>
          <w:tab w:val="left" w:pos="2160"/>
          <w:tab w:val="left" w:pos="2880"/>
          <w:tab w:val="left" w:pos="3600"/>
          <w:tab w:val="left" w:pos="4320"/>
        </w:tabs>
        <w:overflowPunct/>
        <w:autoSpaceDE/>
        <w:autoSpaceDN/>
        <w:adjustRightInd/>
        <w:textAlignment w:val="auto"/>
        <w:rPr>
          <w:rFonts w:ascii="Times New Roman" w:eastAsia="Calibri" w:hAnsi="Times New Roman"/>
          <w:sz w:val="24"/>
          <w:szCs w:val="24"/>
        </w:rPr>
      </w:pPr>
      <w:r w:rsidRPr="00782C64">
        <w:rPr>
          <w:rFonts w:ascii="Times New Roman" w:eastAsia="Calibri" w:hAnsi="Times New Roman"/>
          <w:sz w:val="24"/>
          <w:szCs w:val="24"/>
        </w:rPr>
        <w:t xml:space="preserve">TRANSFER OF AUTHORITY TO ADMINISTER AND ENFORCE RULE: The authority to administer and enforce this rule (formerly </w:t>
      </w:r>
      <w:r>
        <w:rPr>
          <w:rFonts w:ascii="Times New Roman" w:eastAsia="Calibri" w:hAnsi="Times New Roman"/>
          <w:sz w:val="24"/>
          <w:szCs w:val="24"/>
        </w:rPr>
        <w:t>16-642</w:t>
      </w:r>
      <w:r w:rsidRPr="00782C64">
        <w:rPr>
          <w:rFonts w:ascii="Times New Roman" w:eastAsia="Calibri" w:hAnsi="Times New Roman"/>
          <w:sz w:val="24"/>
          <w:szCs w:val="24"/>
        </w:rPr>
        <w:t xml:space="preserve"> C.M.R. Ch. </w:t>
      </w:r>
      <w:r>
        <w:rPr>
          <w:rFonts w:ascii="Times New Roman" w:eastAsia="Calibri" w:hAnsi="Times New Roman"/>
          <w:sz w:val="24"/>
          <w:szCs w:val="24"/>
        </w:rPr>
        <w:t>7</w:t>
      </w:r>
      <w:r w:rsidRPr="00782C64">
        <w:rPr>
          <w:rFonts w:ascii="Times New Roman" w:eastAsia="Calibri" w:hAnsi="Times New Roman"/>
          <w:sz w:val="24"/>
          <w:szCs w:val="24"/>
        </w:rPr>
        <w:t>) was transferred to the Maine Office of Community Affairs on September 24, 2025 pursuant to PL 2025, c. 388.</w:t>
      </w:r>
    </w:p>
    <w:p w14:paraId="6A68569E" w14:textId="77777777" w:rsidR="00F82997" w:rsidRDefault="00F8299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p>
    <w:sectPr w:rsidR="00F82997" w:rsidSect="00B14FD4">
      <w:headerReference w:type="default" r:id="rId7"/>
      <w:footerReference w:type="default" r:id="rId8"/>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97AF" w14:textId="77777777" w:rsidR="00867C8F" w:rsidRDefault="00867C8F">
      <w:r>
        <w:separator/>
      </w:r>
    </w:p>
  </w:endnote>
  <w:endnote w:type="continuationSeparator" w:id="0">
    <w:p w14:paraId="438B3FE8" w14:textId="77777777" w:rsidR="00867C8F" w:rsidRDefault="0086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5B7D"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506E" w14:textId="77777777" w:rsidR="00867C8F" w:rsidRDefault="00867C8F">
      <w:r>
        <w:rPr>
          <w:sz w:val="24"/>
        </w:rPr>
        <w:separator/>
      </w:r>
    </w:p>
  </w:footnote>
  <w:footnote w:type="continuationSeparator" w:id="0">
    <w:p w14:paraId="325BC0D6" w14:textId="77777777" w:rsidR="00867C8F" w:rsidRDefault="0086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685B"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59D"/>
    <w:multiLevelType w:val="hybridMultilevel"/>
    <w:tmpl w:val="428AFECE"/>
    <w:lvl w:ilvl="0" w:tplc="D8E43C0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8E4D08"/>
    <w:multiLevelType w:val="hybridMultilevel"/>
    <w:tmpl w:val="C5AAC6A2"/>
    <w:lvl w:ilvl="0" w:tplc="0409000F">
      <w:start w:val="1"/>
      <w:numFmt w:val="decimal"/>
      <w:lvlText w:val="%1."/>
      <w:lvlJc w:val="left"/>
      <w:pPr>
        <w:ind w:left="720" w:hanging="360"/>
      </w:pPr>
      <w:rPr>
        <w:rFonts w:cs="Times New Roman" w:hint="default"/>
      </w:rPr>
    </w:lvl>
    <w:lvl w:ilvl="1" w:tplc="D87CBA84">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380E03"/>
    <w:multiLevelType w:val="hybridMultilevel"/>
    <w:tmpl w:val="7390C262"/>
    <w:lvl w:ilvl="0" w:tplc="7128A716">
      <w:start w:val="5"/>
      <w:numFmt w:val="decimal"/>
      <w:lvlText w:val="%1."/>
      <w:lvlJc w:val="left"/>
      <w:pPr>
        <w:tabs>
          <w:tab w:val="num" w:pos="972"/>
        </w:tabs>
        <w:ind w:left="97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F65105"/>
    <w:multiLevelType w:val="hybridMultilevel"/>
    <w:tmpl w:val="97343688"/>
    <w:lvl w:ilvl="0" w:tplc="985A296C">
      <w:start w:val="8"/>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122547DD"/>
    <w:multiLevelType w:val="hybridMultilevel"/>
    <w:tmpl w:val="E7B8202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7159FC"/>
    <w:multiLevelType w:val="hybridMultilevel"/>
    <w:tmpl w:val="DADE2B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79E39C9"/>
    <w:multiLevelType w:val="hybridMultilevel"/>
    <w:tmpl w:val="9E444620"/>
    <w:lvl w:ilvl="0" w:tplc="C450E5E8">
      <w:start w:val="1"/>
      <w:numFmt w:val="decimal"/>
      <w:lvlText w:val="(%1)"/>
      <w:lvlJc w:val="left"/>
      <w:pPr>
        <w:tabs>
          <w:tab w:val="num" w:pos="720"/>
        </w:tabs>
        <w:ind w:left="720" w:hanging="360"/>
      </w:pPr>
      <w:rPr>
        <w:rFonts w:cs="Times New Roman" w:hint="default"/>
        <w:color w:val="0000FF"/>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604A88"/>
    <w:multiLevelType w:val="hybridMultilevel"/>
    <w:tmpl w:val="0134A3B4"/>
    <w:lvl w:ilvl="0" w:tplc="0409000F">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2AAEC2F0">
      <w:start w:val="1"/>
      <w:numFmt w:val="decimal"/>
      <w:lvlText w:val="(%3)"/>
      <w:lvlJc w:val="left"/>
      <w:pPr>
        <w:tabs>
          <w:tab w:val="num" w:pos="2160"/>
        </w:tabs>
        <w:ind w:left="2160" w:hanging="18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1343D5"/>
    <w:multiLevelType w:val="hybridMultilevel"/>
    <w:tmpl w:val="CE44B17E"/>
    <w:lvl w:ilvl="0" w:tplc="D7487256">
      <w:start w:val="1"/>
      <w:numFmt w:val="decimal"/>
      <w:lvlText w:val="(%1)"/>
      <w:lvlJc w:val="left"/>
      <w:pPr>
        <w:ind w:left="720" w:hanging="360"/>
      </w:pPr>
      <w:rPr>
        <w:rFonts w:cs="Times New Roman" w:hint="default"/>
        <w:b w:val="0"/>
      </w:rPr>
    </w:lvl>
    <w:lvl w:ilvl="1" w:tplc="C3900C2E">
      <w:start w:val="18"/>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F61E71"/>
    <w:multiLevelType w:val="hybridMultilevel"/>
    <w:tmpl w:val="8856F072"/>
    <w:lvl w:ilvl="0" w:tplc="98EE7B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B406B8"/>
    <w:multiLevelType w:val="hybridMultilevel"/>
    <w:tmpl w:val="6A5A7A16"/>
    <w:lvl w:ilvl="0" w:tplc="3C46C8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0E66F4"/>
    <w:multiLevelType w:val="hybridMultilevel"/>
    <w:tmpl w:val="3ACACD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2A72890"/>
    <w:multiLevelType w:val="hybridMultilevel"/>
    <w:tmpl w:val="D01E8AF8"/>
    <w:lvl w:ilvl="0" w:tplc="8CBEEFE8">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2AAEC2F0">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4092B04"/>
    <w:multiLevelType w:val="hybridMultilevel"/>
    <w:tmpl w:val="AD0899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49E0449"/>
    <w:multiLevelType w:val="hybridMultilevel"/>
    <w:tmpl w:val="18ACF5D4"/>
    <w:lvl w:ilvl="0" w:tplc="2AAEC2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35578D"/>
    <w:multiLevelType w:val="hybridMultilevel"/>
    <w:tmpl w:val="A718C53C"/>
    <w:lvl w:ilvl="0" w:tplc="3BF8F5F0">
      <w:start w:val="1"/>
      <w:numFmt w:val="decimal"/>
      <w:lvlText w:val="%1."/>
      <w:lvlJc w:val="left"/>
      <w:pPr>
        <w:ind w:left="720" w:hanging="360"/>
      </w:pPr>
      <w:rPr>
        <w:rFonts w:cs="Times New Roman" w:hint="default"/>
        <w:b w:val="0"/>
      </w:rPr>
    </w:lvl>
    <w:lvl w:ilvl="1" w:tplc="3AAA110E">
      <w:start w:val="1"/>
      <w:numFmt w:val="upperLetter"/>
      <w:lvlText w:val="%2."/>
      <w:lvlJc w:val="left"/>
      <w:pPr>
        <w:ind w:left="1440" w:hanging="360"/>
      </w:pPr>
      <w:rPr>
        <w:rFonts w:cs="Times New Roman"/>
        <w:b w:val="0"/>
      </w:rPr>
    </w:lvl>
    <w:lvl w:ilvl="2" w:tplc="1B362756">
      <w:start w:val="1"/>
      <w:numFmt w:val="decimal"/>
      <w:lvlText w:val="(%3)"/>
      <w:lvlJc w:val="left"/>
      <w:pPr>
        <w:ind w:left="2160" w:hanging="180"/>
      </w:pPr>
      <w:rPr>
        <w:rFonts w:cs="Times New Roman" w:hint="default"/>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A37360"/>
    <w:multiLevelType w:val="hybridMultilevel"/>
    <w:tmpl w:val="BFBAE252"/>
    <w:lvl w:ilvl="0" w:tplc="3B70B9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8522B6"/>
    <w:multiLevelType w:val="hybridMultilevel"/>
    <w:tmpl w:val="105053E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BC15E1"/>
    <w:multiLevelType w:val="hybridMultilevel"/>
    <w:tmpl w:val="D3EE055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6F27273"/>
    <w:multiLevelType w:val="hybridMultilevel"/>
    <w:tmpl w:val="6DA246A0"/>
    <w:lvl w:ilvl="0" w:tplc="AA96E784">
      <w:start w:val="9"/>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DA32435"/>
    <w:multiLevelType w:val="hybridMultilevel"/>
    <w:tmpl w:val="49941534"/>
    <w:lvl w:ilvl="0" w:tplc="D1762B4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2B6873"/>
    <w:multiLevelType w:val="hybridMultilevel"/>
    <w:tmpl w:val="B868E9C2"/>
    <w:lvl w:ilvl="0" w:tplc="F03A7C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19718287">
    <w:abstractNumId w:val="2"/>
  </w:num>
  <w:num w:numId="2" w16cid:durableId="278688058">
    <w:abstractNumId w:val="7"/>
  </w:num>
  <w:num w:numId="3" w16cid:durableId="1253275857">
    <w:abstractNumId w:val="4"/>
  </w:num>
  <w:num w:numId="4" w16cid:durableId="2010131226">
    <w:abstractNumId w:val="14"/>
  </w:num>
  <w:num w:numId="5" w16cid:durableId="953025273">
    <w:abstractNumId w:val="20"/>
  </w:num>
  <w:num w:numId="6" w16cid:durableId="1814248181">
    <w:abstractNumId w:val="17"/>
  </w:num>
  <w:num w:numId="7" w16cid:durableId="368190805">
    <w:abstractNumId w:val="6"/>
  </w:num>
  <w:num w:numId="8" w16cid:durableId="262424744">
    <w:abstractNumId w:val="11"/>
  </w:num>
  <w:num w:numId="9" w16cid:durableId="941884939">
    <w:abstractNumId w:val="1"/>
  </w:num>
  <w:num w:numId="10" w16cid:durableId="1877769059">
    <w:abstractNumId w:val="13"/>
  </w:num>
  <w:num w:numId="11" w16cid:durableId="1479767175">
    <w:abstractNumId w:val="3"/>
  </w:num>
  <w:num w:numId="12" w16cid:durableId="940842841">
    <w:abstractNumId w:val="18"/>
  </w:num>
  <w:num w:numId="13" w16cid:durableId="1208686240">
    <w:abstractNumId w:val="15"/>
  </w:num>
  <w:num w:numId="14" w16cid:durableId="672492251">
    <w:abstractNumId w:val="12"/>
  </w:num>
  <w:num w:numId="15" w16cid:durableId="1117330800">
    <w:abstractNumId w:val="8"/>
  </w:num>
  <w:num w:numId="16" w16cid:durableId="1091121531">
    <w:abstractNumId w:val="19"/>
  </w:num>
  <w:num w:numId="17" w16cid:durableId="1610159760">
    <w:abstractNumId w:val="5"/>
  </w:num>
  <w:num w:numId="18" w16cid:durableId="1533684072">
    <w:abstractNumId w:val="0"/>
  </w:num>
  <w:num w:numId="19" w16cid:durableId="534006403">
    <w:abstractNumId w:val="16"/>
  </w:num>
  <w:num w:numId="20" w16cid:durableId="1812936700">
    <w:abstractNumId w:val="21"/>
  </w:num>
  <w:num w:numId="21" w16cid:durableId="606236319">
    <w:abstractNumId w:val="10"/>
  </w:num>
  <w:num w:numId="22" w16cid:durableId="2105414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15ADF"/>
    <w:rsid w:val="000A0B05"/>
    <w:rsid w:val="000B7FF3"/>
    <w:rsid w:val="001030D2"/>
    <w:rsid w:val="00104146"/>
    <w:rsid w:val="001201B9"/>
    <w:rsid w:val="0012141C"/>
    <w:rsid w:val="0013746E"/>
    <w:rsid w:val="0014587C"/>
    <w:rsid w:val="00184A82"/>
    <w:rsid w:val="00194290"/>
    <w:rsid w:val="00197252"/>
    <w:rsid w:val="001A1312"/>
    <w:rsid w:val="001B1CC7"/>
    <w:rsid w:val="001F4CBC"/>
    <w:rsid w:val="00236A05"/>
    <w:rsid w:val="00263FAE"/>
    <w:rsid w:val="002736BC"/>
    <w:rsid w:val="00275E91"/>
    <w:rsid w:val="00293628"/>
    <w:rsid w:val="002A2703"/>
    <w:rsid w:val="0031244F"/>
    <w:rsid w:val="00362682"/>
    <w:rsid w:val="003755FD"/>
    <w:rsid w:val="003807EF"/>
    <w:rsid w:val="00396F82"/>
    <w:rsid w:val="003C1D5D"/>
    <w:rsid w:val="00430AED"/>
    <w:rsid w:val="00435191"/>
    <w:rsid w:val="00442767"/>
    <w:rsid w:val="004450C3"/>
    <w:rsid w:val="0045357C"/>
    <w:rsid w:val="004978D9"/>
    <w:rsid w:val="00503D45"/>
    <w:rsid w:val="0051348D"/>
    <w:rsid w:val="0055216E"/>
    <w:rsid w:val="00593DE3"/>
    <w:rsid w:val="0059780A"/>
    <w:rsid w:val="005C3D9A"/>
    <w:rsid w:val="005E0AE6"/>
    <w:rsid w:val="006234FC"/>
    <w:rsid w:val="00645E66"/>
    <w:rsid w:val="00662D52"/>
    <w:rsid w:val="00670978"/>
    <w:rsid w:val="00697493"/>
    <w:rsid w:val="006B0238"/>
    <w:rsid w:val="006D56AC"/>
    <w:rsid w:val="00701D37"/>
    <w:rsid w:val="00706902"/>
    <w:rsid w:val="00715776"/>
    <w:rsid w:val="00716CD0"/>
    <w:rsid w:val="00725D4C"/>
    <w:rsid w:val="007301F5"/>
    <w:rsid w:val="00752FC2"/>
    <w:rsid w:val="0075573E"/>
    <w:rsid w:val="00777527"/>
    <w:rsid w:val="00782C64"/>
    <w:rsid w:val="007916D9"/>
    <w:rsid w:val="007A532B"/>
    <w:rsid w:val="007D4B05"/>
    <w:rsid w:val="007F3A60"/>
    <w:rsid w:val="007F48E5"/>
    <w:rsid w:val="008276B5"/>
    <w:rsid w:val="00846999"/>
    <w:rsid w:val="00867988"/>
    <w:rsid w:val="00867C8F"/>
    <w:rsid w:val="00872187"/>
    <w:rsid w:val="0088645F"/>
    <w:rsid w:val="008938D9"/>
    <w:rsid w:val="008B3CF0"/>
    <w:rsid w:val="008C2FD6"/>
    <w:rsid w:val="008D5745"/>
    <w:rsid w:val="008E566E"/>
    <w:rsid w:val="0095400A"/>
    <w:rsid w:val="00955292"/>
    <w:rsid w:val="009555EC"/>
    <w:rsid w:val="00982FD2"/>
    <w:rsid w:val="009831A3"/>
    <w:rsid w:val="0099434F"/>
    <w:rsid w:val="00A00CBD"/>
    <w:rsid w:val="00A51352"/>
    <w:rsid w:val="00A516C1"/>
    <w:rsid w:val="00A51FF9"/>
    <w:rsid w:val="00A534AB"/>
    <w:rsid w:val="00A71FE3"/>
    <w:rsid w:val="00A731B5"/>
    <w:rsid w:val="00A90211"/>
    <w:rsid w:val="00A91562"/>
    <w:rsid w:val="00AC5FD1"/>
    <w:rsid w:val="00AD529C"/>
    <w:rsid w:val="00B127A1"/>
    <w:rsid w:val="00B13DDD"/>
    <w:rsid w:val="00B14FD4"/>
    <w:rsid w:val="00B3206B"/>
    <w:rsid w:val="00B32F4F"/>
    <w:rsid w:val="00B3323E"/>
    <w:rsid w:val="00B40948"/>
    <w:rsid w:val="00B73C48"/>
    <w:rsid w:val="00B869F7"/>
    <w:rsid w:val="00BA13A3"/>
    <w:rsid w:val="00BE2382"/>
    <w:rsid w:val="00BE6F60"/>
    <w:rsid w:val="00C44C7A"/>
    <w:rsid w:val="00D04FED"/>
    <w:rsid w:val="00D1011C"/>
    <w:rsid w:val="00D260E2"/>
    <w:rsid w:val="00D46786"/>
    <w:rsid w:val="00D67A09"/>
    <w:rsid w:val="00D81ADA"/>
    <w:rsid w:val="00D86089"/>
    <w:rsid w:val="00D96AC6"/>
    <w:rsid w:val="00DE4F06"/>
    <w:rsid w:val="00E23D73"/>
    <w:rsid w:val="00E45EEA"/>
    <w:rsid w:val="00E56965"/>
    <w:rsid w:val="00E74306"/>
    <w:rsid w:val="00E832E0"/>
    <w:rsid w:val="00E97346"/>
    <w:rsid w:val="00EB0297"/>
    <w:rsid w:val="00EB6CA9"/>
    <w:rsid w:val="00F343D3"/>
    <w:rsid w:val="00F465D6"/>
    <w:rsid w:val="00F63500"/>
    <w:rsid w:val="00F651E9"/>
    <w:rsid w:val="00F748D8"/>
    <w:rsid w:val="00F82997"/>
    <w:rsid w:val="00F91365"/>
    <w:rsid w:val="00FF2C55"/>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E17DD4"/>
  <w15:docId w15:val="{825BCDC8-BABD-40C4-9542-3477052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numbering" w:customStyle="1" w:styleId="NoList1">
    <w:name w:val="No List1"/>
    <w:next w:val="NoList"/>
    <w:uiPriority w:val="99"/>
    <w:semiHidden/>
    <w:unhideWhenUsed/>
    <w:rsid w:val="00F82997"/>
  </w:style>
  <w:style w:type="paragraph" w:styleId="ListParagraph">
    <w:name w:val="List Paragraph"/>
    <w:basedOn w:val="Normal"/>
    <w:qFormat/>
    <w:rsid w:val="00F82997"/>
    <w:pPr>
      <w:overflowPunct/>
      <w:autoSpaceDE/>
      <w:autoSpaceDN/>
      <w:adjustRightInd/>
      <w:ind w:left="720"/>
      <w:textAlignment w:val="auto"/>
    </w:pPr>
    <w:rPr>
      <w:rFonts w:ascii="Times New Roman" w:hAnsi="Times New Roman"/>
      <w:sz w:val="24"/>
      <w:szCs w:val="24"/>
    </w:rPr>
  </w:style>
  <w:style w:type="character" w:styleId="CommentReference">
    <w:name w:val="annotation reference"/>
    <w:rsid w:val="00F82997"/>
    <w:rPr>
      <w:rFonts w:cs="Times New Roman"/>
      <w:sz w:val="16"/>
      <w:szCs w:val="16"/>
    </w:rPr>
  </w:style>
  <w:style w:type="character" w:customStyle="1" w:styleId="CommentTextChar">
    <w:name w:val="Comment Text Char"/>
    <w:locked/>
    <w:rsid w:val="00F82997"/>
    <w:rPr>
      <w:rFonts w:cs="Times New Roman"/>
    </w:rPr>
  </w:style>
  <w:style w:type="paragraph" w:styleId="CommentSubject">
    <w:name w:val="annotation subject"/>
    <w:basedOn w:val="CommentText"/>
    <w:next w:val="CommentText"/>
    <w:link w:val="CommentSubjectChar"/>
    <w:rsid w:val="00F82997"/>
    <w:pPr>
      <w:overflowPunct/>
      <w:autoSpaceDE/>
      <w:autoSpaceDN/>
      <w:adjustRightInd/>
      <w:textAlignment w:val="auto"/>
    </w:pPr>
    <w:rPr>
      <w:rFonts w:ascii="Times New Roman" w:hAnsi="Times New Roman"/>
      <w:b/>
      <w:bCs/>
    </w:rPr>
  </w:style>
  <w:style w:type="character" w:customStyle="1" w:styleId="CommentTextChar1">
    <w:name w:val="Comment Text Char1"/>
    <w:basedOn w:val="DefaultParagraphFont"/>
    <w:link w:val="CommentText"/>
    <w:rsid w:val="00F82997"/>
    <w:rPr>
      <w:rFonts w:ascii="Courier" w:hAnsi="Courier"/>
    </w:rPr>
  </w:style>
  <w:style w:type="character" w:customStyle="1" w:styleId="CommentSubjectChar">
    <w:name w:val="Comment Subject Char"/>
    <w:basedOn w:val="CommentTextChar1"/>
    <w:link w:val="CommentSubject"/>
    <w:rsid w:val="00F82997"/>
    <w:rPr>
      <w:rFonts w:ascii="Courier" w:hAnsi="Courier"/>
      <w:b/>
      <w:bCs/>
    </w:rPr>
  </w:style>
  <w:style w:type="paragraph" w:styleId="BalloonText">
    <w:name w:val="Balloon Text"/>
    <w:basedOn w:val="Normal"/>
    <w:link w:val="BalloonTextChar"/>
    <w:rsid w:val="00F82997"/>
    <w:pPr>
      <w:overflowPunct/>
      <w:autoSpaceDE/>
      <w:autoSpaceDN/>
      <w:adjustRightInd/>
      <w:textAlignment w:val="auto"/>
    </w:pPr>
    <w:rPr>
      <w:rFonts w:ascii="Tahoma" w:hAnsi="Tahoma" w:cs="Tahoma"/>
      <w:sz w:val="16"/>
      <w:szCs w:val="16"/>
    </w:rPr>
  </w:style>
  <w:style w:type="character" w:customStyle="1" w:styleId="BalloonTextChar">
    <w:name w:val="Balloon Text Char"/>
    <w:basedOn w:val="DefaultParagraphFont"/>
    <w:link w:val="BalloonText"/>
    <w:rsid w:val="00F82997"/>
    <w:rPr>
      <w:rFonts w:ascii="Tahoma" w:hAnsi="Tahoma" w:cs="Tahoma"/>
      <w:sz w:val="16"/>
      <w:szCs w:val="16"/>
    </w:rPr>
  </w:style>
  <w:style w:type="paragraph" w:styleId="FootnoteText">
    <w:name w:val="footnote text"/>
    <w:basedOn w:val="Normal"/>
    <w:link w:val="FootnoteTextChar"/>
    <w:rsid w:val="00F82997"/>
    <w:pPr>
      <w:overflowPunct/>
      <w:autoSpaceDE/>
      <w:autoSpaceDN/>
      <w:adjustRightInd/>
      <w:textAlignment w:val="auto"/>
    </w:pPr>
    <w:rPr>
      <w:rFonts w:ascii="Times New Roman" w:hAnsi="Times New Roman"/>
    </w:rPr>
  </w:style>
  <w:style w:type="character" w:customStyle="1" w:styleId="FootnoteTextChar">
    <w:name w:val="Footnote Text Char"/>
    <w:basedOn w:val="DefaultParagraphFont"/>
    <w:link w:val="FootnoteText"/>
    <w:rsid w:val="00F82997"/>
  </w:style>
  <w:style w:type="character" w:styleId="FootnoteReference">
    <w:name w:val="footnote reference"/>
    <w:rsid w:val="00F82997"/>
    <w:rPr>
      <w:rFonts w:cs="Times New Roman"/>
      <w:vertAlign w:val="superscript"/>
    </w:rPr>
  </w:style>
  <w:style w:type="character" w:customStyle="1" w:styleId="HeaderChar">
    <w:name w:val="Header Char"/>
    <w:link w:val="Header"/>
    <w:locked/>
    <w:rsid w:val="00F82997"/>
    <w:rPr>
      <w:rFonts w:ascii="Courier" w:hAnsi="Courier"/>
    </w:rPr>
  </w:style>
  <w:style w:type="character" w:customStyle="1" w:styleId="FooterChar">
    <w:name w:val="Footer Char"/>
    <w:link w:val="Footer"/>
    <w:locked/>
    <w:rsid w:val="00F82997"/>
    <w:rPr>
      <w:rFonts w:ascii="Courier" w:hAnsi="Courier"/>
    </w:rPr>
  </w:style>
  <w:style w:type="character" w:customStyle="1" w:styleId="cf01">
    <w:name w:val="cf01"/>
    <w:basedOn w:val="DefaultParagraphFont"/>
    <w:rsid w:val="00F82997"/>
    <w:rPr>
      <w:rFonts w:ascii="Segoe UI" w:hAnsi="Segoe UI" w:cs="Segoe UI" w:hint="default"/>
      <w:b/>
      <w:bCs/>
      <w:sz w:val="18"/>
      <w:szCs w:val="18"/>
    </w:rPr>
  </w:style>
  <w:style w:type="character" w:customStyle="1" w:styleId="ui-provider">
    <w:name w:val="ui-provider"/>
    <w:basedOn w:val="DefaultParagraphFont"/>
    <w:rsid w:val="00F82997"/>
  </w:style>
  <w:style w:type="paragraph" w:styleId="Revision">
    <w:name w:val="Revision"/>
    <w:hidden/>
    <w:uiPriority w:val="99"/>
    <w:semiHidden/>
    <w:rsid w:val="00F829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2748</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4</cp:revision>
  <cp:lastPrinted>2025-03-22T15:06:00Z</cp:lastPrinted>
  <dcterms:created xsi:type="dcterms:W3CDTF">2025-07-31T16:17:00Z</dcterms:created>
  <dcterms:modified xsi:type="dcterms:W3CDTF">2025-09-15T12:40:00Z</dcterms:modified>
</cp:coreProperties>
</file>